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Aiyar Ram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KORRO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FIRST STREET, 2ND FLOOR,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Korro Bio, Inc.</w:t>
              </w:r>
            </w:hyperlink>
            <w:r>
              <w:rPr/>
              <w:t xml:space="preserve"> [ </w:t>
            </w:r>
            <w:r>
              <w:rPr>
                <w:rFonts w:ascii="Times;serif" w:hAnsi="Times;serif"/>
                <w:color w:val="0000FF"/>
                <w:sz w:val="24"/>
                <w:shd w:fill="FFFFFF" w:val="clear"/>
              </w:rPr>
              <w:t>KRRO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8"/>
        <w:gridCol w:w="922"/>
        <w:gridCol w:w="791"/>
        <w:gridCol w:w="612"/>
        <w:gridCol w:w="343"/>
        <w:gridCol w:w="820"/>
        <w:gridCol w:w="428"/>
        <w:gridCol w:w="898"/>
        <w:gridCol w:w="1128"/>
        <w:gridCol w:w="974"/>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5,802</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10.844</w:t>
            </w:r>
            <w:r>
              <w:rPr>
                <w:rFonts w:ascii="Times;serif" w:hAnsi="Times;serif"/>
                <w:color w:val="008000"/>
                <w:position w:val="7"/>
                <w:sz w:val="16"/>
                <w:sz w:val="20"/>
                <w:shd w:fill="FFFFFF" w:val="clear"/>
              </w:rPr>
              <w:t>(2)</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69,046</w:t>
            </w:r>
            <w:r>
              <w:rPr>
                <w:rFonts w:ascii="Times;serif" w:hAnsi="Times;serif"/>
                <w:color w:val="008000"/>
                <w:position w:val="7"/>
                <w:sz w:val="16"/>
                <w:sz w:val="20"/>
                <w:shd w:fill="FFFFFF" w:val="clear"/>
              </w:rPr>
              <w:t>(3)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4,613</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Shares are held by The Ram Aiyar Irrevocable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mandatory sale of shares of common stock solely to satisfy tax withholding obligations incurred upon vesting and settlement of a restricted stock unit (RSU) granted under the Issuer's 2023 Stock Option and Incentive Plan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weighted-average price. The shares were sold in multiple transactions at prices ranging from $10.57 to $11.055, inclusive. Full information regarding the number of shares sold at each separate price can be provided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20,000 shares of common stock issuable upon settlement of a RSU granted under the 2023 Plan that will vest on February 1, 2027 subject to the reporting person maintaining a continuous Service Relationship (as defined in the 2023 Plan)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The Ram Aiyar Irrevocable Trust, for which the Reporting Person serves as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Cerio,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7920" TargetMode="External"/><Relationship Id="rId5" Type="http://schemas.openxmlformats.org/officeDocument/2006/relationships/hyperlink" Target="http://www.sec.gov/cgi-bin/browse-edgar?action=getcompany&amp;CIK=0001703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796</Words>
  <Characters>4254</Characters>
  <CharactersWithSpaces>4975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