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ro-20261005.htm"/>
      <w:bookmarkStart w:id="1" w:name="kskrro20261005"/>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5, 2026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5613" w:type="dxa"/>
        <w:jc w:val="left"/>
        <w:tblInd w:w="0" w:type="dxa"/>
        <w:tblLayout w:type="fixed"/>
        <w:tblCellMar>
          <w:top w:w="28" w:type="dxa"/>
          <w:left w:w="28" w:type="dxa"/>
          <w:bottom w:w="28" w:type="dxa"/>
          <w:right w:w="28" w:type="dxa"/>
        </w:tblCellMar>
      </w:tblPr>
      <w:tblGrid>
        <w:gridCol w:w="3001"/>
        <w:gridCol w:w="1126"/>
        <w:gridCol w:w="1486"/>
      </w:tblGrid>
      <w:tr>
        <w:trPr/>
        <w:tc>
          <w:tcPr>
            <w:tcW w:w="30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001-39062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color w:val="000000"/>
              </w:rPr>
            </w:pPr>
            <w:r>
              <w:rPr>
                <w:color w:val="000000"/>
              </w:rPr>
              <w:t> </w:t>
            </w:r>
            <w:r>
              <w:rPr>
                <w:rFonts w:ascii="Times New Roman" w:hAnsi="Times New Roman"/>
                <w:b/>
                <w:color w:val="000000"/>
                <w:sz w:val="16"/>
              </w:rPr>
              <w:t>incorporation)</w:t>
            </w:r>
          </w:p>
        </w:tc>
        <w:tc>
          <w:tcPr>
            <w:tcW w:w="11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15"/>
              <w:jc w:val="center"/>
              <w:rPr>
                <w:color w:val="000000"/>
              </w:rPr>
            </w:pPr>
            <w:r>
              <w:rPr>
                <w:color w:val="000000"/>
              </w:rPr>
              <w:t> </w:t>
            </w: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r>
        <w:trPr/>
        <w:tc>
          <w:tcPr>
            <w:tcW w:w="3001" w:type="dxa"/>
            <w:tcBorders/>
            <w:tcMar>
              <w:top w:w="0" w:type="dxa"/>
              <w:left w:w="0" w:type="dxa"/>
              <w:bottom w:w="0" w:type="dxa"/>
              <w:right w:w="0" w:type="dxa"/>
            </w:tcMar>
            <w:vAlign w:val="center"/>
          </w:tcPr>
          <w:p>
            <w:pPr>
              <w:pStyle w:val="TableContents"/>
              <w:bidi w:val="0"/>
              <w:spacing w:lineRule="auto" w:line="360" w:before="60" w:after="283"/>
              <w:jc w:val="center"/>
              <w:rPr>
                <w:rFonts w:ascii="Times New Roman" w:hAnsi="Times New Roman"/>
                <w:sz w:val="20"/>
              </w:rPr>
            </w:pPr>
            <w:r>
              <w:rPr>
                <w:rFonts w:ascii="Times New Roman" w:hAnsi="Times New Roman"/>
                <w:b/>
                <w:color w:val="000000"/>
                <w:sz w:val="20"/>
              </w:rPr>
              <w:t>60 First Street,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468-1999</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October 5, 2026, Korro Bio, Inc. issued a press release announcing that it has dosed the first cohort of participants in ANCHOR, its Phase 1/2 clinical trial of KRRO-121, a GalNAc-conjugated RNA-editing oligonucleotide in development for the potential treatment of hyperammonemia in patients with urea cycle disorders and hepatic encephalopathy. A copy of the press release is filed as Exhibit 99.1 to this current report on Form 8-K and is incorporated herein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krro-ex99_1.htm">
              <w:r>
                <w:rPr>
                  <w:rStyle w:val="InternetLink"/>
                  <w:rFonts w:ascii="Times New Roman" w:hAnsi="Times New Roman"/>
                  <w:color w:val="0000FF"/>
                  <w:sz w:val="20"/>
                  <w:u w:val="single"/>
                </w:rPr>
                <w:t>Press Release issued by Korro Bio, Inc., dated October 5,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1906"/>
        <w:gridCol w:w="406"/>
        <w:gridCol w:w="6586"/>
      </w:tblGrid>
      <w:tr>
        <w:trPr/>
        <w:tc>
          <w:tcPr>
            <w:tcW w:w="19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KORRO BIO, INC.</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Ram Aiyar</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 and 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krro-ex99_1.htm"/>
      <w:bookmarkStart w:id="3" w:name="kskrro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0" w:after="160"/>
        <w:jc w:val="center"/>
        <w:rPr/>
      </w:pPr>
      <w:r>
        <w:rPr/>
        <w:drawing>
          <wp:inline distT="0" distB="0" distL="0" distR="0">
            <wp:extent cx="19240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28650"/>
                    </a:xfrm>
                    <a:prstGeom prst="rect">
                      <a:avLst/>
                    </a:prstGeom>
                  </pic:spPr>
                </pic:pic>
              </a:graphicData>
            </a:graphic>
          </wp:inline>
        </w:drawing>
      </w:r>
    </w:p>
    <w:p>
      <w:pPr>
        <w:pStyle w:val="TextBody"/>
        <w:bidi w:val="0"/>
        <w:spacing w:before="0" w:after="160"/>
        <w:jc w:val="center"/>
        <w:rPr>
          <w:rFonts w:ascii="sans-serif" w:hAnsi="sans-serif"/>
          <w:sz w:val="32"/>
        </w:rPr>
      </w:pPr>
      <w:r>
        <w:rPr>
          <w:rFonts w:ascii="sans-serif" w:hAnsi="sans-serif"/>
          <w:b/>
          <w:color w:val="000000"/>
          <w:sz w:val="32"/>
        </w:rPr>
        <w:t>Korro Announces First Cohort Dosed in Phase 1/2 Clinical Trial (ANCHOR) for KRRO-121</w:t>
      </w:r>
      <w:r>
        <w:rPr>
          <w:rFonts w:ascii="sans-serif" w:hAnsi="sans-serif"/>
          <w:color w:val="000000"/>
          <w:sz w:val="32"/>
        </w:rPr>
        <w:t xml:space="preserve">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Initiated a Phase 1/2 clinical trial to enroll healthy volunteers and patients with Urea Cycle Disorders of any mutational background</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Administered a single dose of 2mg/kg to the first cohort of healthy volunteers</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w:t>
            </w:r>
          </w:p>
        </w:tc>
        <w:tc>
          <w:tcPr>
            <w:tcW w:w="1004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Expected to start dosing in UCD patients in the first half of 2027 with an interim readout expected in the second half of 2027</w:t>
            </w:r>
          </w:p>
        </w:tc>
      </w:tr>
    </w:tbl>
    <w:p>
      <w:pPr>
        <w:pStyle w:val="TextBody"/>
        <w:bidi w:val="0"/>
        <w:jc w:val="left"/>
        <w:rPr/>
      </w:pPr>
      <w:r>
        <w:rPr/>
        <w:t> </w:t>
      </w:r>
    </w:p>
    <w:p>
      <w:pPr>
        <w:pStyle w:val="TextBody"/>
        <w:bidi w:val="0"/>
        <w:jc w:val="lef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CAMBRIDGE, Mass., Oct. 5, 2026 – Korro Bio, Inc. (Korro) (Nasdaq: KRRO), a clinical-stage biopharmaceutical company leveraging its oligonucleotide promoted editing of RNA (OPERA®) platform to develop a new class of genetic medicines for rare and highly prevalent diseases, announced today that the first cohort of participants has been dosed in its Phase 1/2 clinical trial for KRRO-121, the Company’s GalNAc-conjugated RNA-editing oligonucleotide (REO) in development for the potential treatment of hyperammonemia in patients with urea cycle disorders (UCDs) and patients with hepatic encephalopathy (HE).</w:t>
      </w:r>
    </w:p>
    <w:p>
      <w:pPr>
        <w:pStyle w:val="TextBody"/>
        <w:bidi w:val="0"/>
        <w:spacing w:before="0" w:after="160"/>
        <w:jc w:val="both"/>
        <w:rPr>
          <w:color w:val="000000"/>
        </w:rPr>
      </w:pPr>
      <w:r>
        <w:rPr>
          <w:color w:val="000000"/>
        </w:rPr>
        <w:t>“</w:t>
      </w:r>
      <w:r>
        <w:rPr>
          <w:rFonts w:ascii="sans-serif" w:hAnsi="sans-serif"/>
          <w:color w:val="000000"/>
          <w:sz w:val="22"/>
        </w:rPr>
        <w:t>UCD patients and their families live with a constant, low-grade fear that a stomach bug, a skipped dose of a nitrogen scavenger or just the wrong meal could trigger a hyperammonemic crisis. In multiple preclinical studies with different mutations, KRRO-121 has demonstrated the ability to blunt ammonia excursions,” said Ram Aiyar, PhD, Chief Executive Officer and President of Korro. “Dosing the first cohort in ANCHOR is a step towards gaining evidence on safety first and then activity. Providing the potential for peace of mind for patients with a UCD, irrespective of their mutational background, is something we hope to demonstrate through this trial. I would like to thank all the stakeholders involved in making this possible and working with us to provide options for patients living with UCD.”</w:t>
      </w:r>
    </w:p>
    <w:p>
      <w:pPr>
        <w:pStyle w:val="TextBody"/>
        <w:bidi w:val="0"/>
        <w:spacing w:before="0" w:after="160"/>
        <w:jc w:val="both"/>
        <w:rPr>
          <w:rFonts w:ascii="sans-serif" w:hAnsi="sans-serif"/>
          <w:color w:val="000000"/>
          <w:sz w:val="22"/>
        </w:rPr>
      </w:pPr>
      <w:r>
        <w:rPr>
          <w:rFonts w:ascii="sans-serif" w:hAnsi="sans-serif"/>
          <w:color w:val="000000"/>
          <w:sz w:val="22"/>
        </w:rPr>
        <w:t>This trial is currently enrolling healthy volunteers in Australia and is part of a global Phase 1/2 clinical trial program entitled ANCHOR (AssessmeNt of Control of Hyperammonemia through Oligonucleotide-based RNA editing). ANCHOR consists of two components:</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Part 1: Comprises a Phase 1 single ascending dose (SAD) study to be followed by a multiple ascending dose (MAD) study of KRRO-121 and placebo in healthy volunteers to evaluate safety, tolerability and pharmacokinetics (PK) in up to 50 participants;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Part 2: Comprises a Phase 2 multiple dose study of KRRO-121 in up to 15 participants with UCD across all UCD genotypes to assess safety, tolerability, PK and clinical activity subject to regulatory approval</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The SAD part of Korro’s Phase 1 clinical trial will enroll up to 30 healthy volunteers in up to five cohorts, with the MAD portion enrolling up to 20 subjects across two cohorts. Both the SAD and the MAD portions will be placebo controlled (www.clinicaltrials.gov (NCT07773246)).</w:t>
      </w:r>
    </w:p>
    <w:p>
      <w:pPr>
        <w:pStyle w:val="TextBody"/>
        <w:bidi w:val="0"/>
        <w:spacing w:before="0" w:after="160"/>
        <w:jc w:val="both"/>
        <w:rPr>
          <w:rFonts w:ascii="sans-serif" w:hAnsi="sans-serif"/>
          <w:b/>
          <w:color w:val="000000"/>
          <w:sz w:val="22"/>
        </w:rPr>
      </w:pPr>
      <w:r>
        <w:rPr>
          <w:rFonts w:ascii="sans-serif" w:hAnsi="sans-serif"/>
          <w:b/>
          <w:color w:val="000000"/>
          <w:sz w:val="22"/>
        </w:rPr>
        <w:t>About Korro</w:t>
      </w:r>
    </w:p>
    <w:p>
      <w:pPr>
        <w:pStyle w:val="TextBody"/>
        <w:bidi w:val="0"/>
        <w:spacing w:before="0" w:after="160"/>
        <w:jc w:val="both"/>
        <w:rPr>
          <w:rFonts w:ascii="sans-serif" w:hAnsi="sans-serif"/>
          <w:sz w:val="22"/>
        </w:rPr>
      </w:pPr>
      <w:r>
        <w:rPr>
          <w:rFonts w:ascii="sans-serif" w:hAnsi="sans-serif"/>
          <w:color w:val="000000"/>
          <w:sz w:val="22"/>
        </w:rPr>
        <w:t xml:space="preserve">Korro is a clinical-stage biopharmaceutical company leveraging a novel oligonucleotide promoted editing of RNA (OPERA®) platform to develop a new class of genetic medicines for rare and highly prevalent diseases. OPERA provides precise, tissue-directed delivery of RNA-editing oligonucleotides (REOs) that modify the targeted native mRNA transcript to repair or form a </w:t>
      </w:r>
      <w:r>
        <w:rPr>
          <w:rFonts w:ascii="sans-serif" w:hAnsi="sans-serif"/>
          <w:i/>
          <w:color w:val="000000"/>
          <w:sz w:val="22"/>
        </w:rPr>
        <w:t>de novo</w:t>
      </w:r>
      <w:r>
        <w:rPr>
          <w:rFonts w:ascii="sans-serif" w:hAnsi="sans-serif"/>
          <w:color w:val="000000"/>
          <w:sz w:val="22"/>
        </w:rPr>
        <w:t xml:space="preserve"> 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Korro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Korro is expanding the reach of genetic medicines by delivering additional precision and tunability, which has the potential for increased specificity and improved long-term tolerability. Using an REO-based approach, Korro expects to bring its medicines to patients by leveraging its proprietary OPERA platform with precedented delivery modalities, including N-acetylgalactosamine (GalNAc) conjugated for delivery for subcutaneous administration, manufacturing know-how and established regulatory pathways of approved oligonucleotide medicines. Korro is based in Cambridge, Massachusetts. For more information, visit korrobio.com.</w:t>
      </w:r>
    </w:p>
    <w:p>
      <w:pPr>
        <w:pStyle w:val="TextBody"/>
        <w:bidi w:val="0"/>
        <w:spacing w:before="0" w:after="160"/>
        <w:jc w:val="both"/>
        <w:rPr>
          <w:rFonts w:ascii="sans-serif" w:hAnsi="sans-serif"/>
          <w:color w:val="000000"/>
          <w:sz w:val="22"/>
        </w:rPr>
      </w:pPr>
      <w:r>
        <w:rPr>
          <w:rFonts w:ascii="sans-serif" w:hAnsi="sans-serif"/>
          <w:color w:val="000000"/>
          <w:sz w:val="22"/>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pStyle w:val="TextBody"/>
        <w:bidi w:val="0"/>
        <w:spacing w:before="0" w:after="160"/>
        <w:jc w:val="both"/>
        <w:rPr>
          <w:rFonts w:ascii="sans-serif" w:hAnsi="sans-serif"/>
          <w:b/>
          <w:color w:val="000000"/>
          <w:sz w:val="22"/>
        </w:rPr>
      </w:pPr>
      <w:r>
        <w:rPr>
          <w:rFonts w:ascii="sans-serif" w:hAnsi="sans-serif"/>
          <w:b/>
          <w:color w:val="000000"/>
          <w:sz w:val="22"/>
        </w:rPr>
        <w:t>About ANCHOR</w:t>
      </w:r>
    </w:p>
    <w:p>
      <w:pPr>
        <w:pStyle w:val="TextBody"/>
        <w:bidi w:val="0"/>
        <w:spacing w:before="0" w:after="160"/>
        <w:jc w:val="both"/>
        <w:rPr>
          <w:rFonts w:ascii="sans-serif" w:hAnsi="sans-serif"/>
          <w:color w:val="000000"/>
          <w:sz w:val="22"/>
        </w:rPr>
      </w:pPr>
      <w:r>
        <w:rPr>
          <w:rFonts w:ascii="sans-serif" w:hAnsi="sans-serif"/>
          <w:color w:val="000000"/>
          <w:sz w:val="22"/>
        </w:rPr>
        <w:t xml:space="preserve">ANCHOR (AssessmeNt of Control of Hyperammonemia through Oligonucleotide-based RNA editing) is Korro’s global two-part Phase 1/2 clinical trial program evaluating the safety, tolerability, pharmacokinetics (PK) and clinical activity of KRRO-121. Part 1 will include Phase 1 single ascending dose (SAD) and Phase 1 multiple ascending dose (MAD) studies of KRRO-121 in healthy adult volunteers. Part 2 will be a Phase 2 trial in patients with UCDs. </w:t>
      </w:r>
    </w:p>
    <w:p>
      <w:pPr>
        <w:pStyle w:val="TextBody"/>
        <w:bidi w:val="0"/>
        <w:spacing w:before="0" w:after="160"/>
        <w:jc w:val="both"/>
        <w:rPr>
          <w:rFonts w:ascii="sans-serif" w:hAnsi="sans-serif"/>
          <w:color w:val="000000"/>
          <w:sz w:val="22"/>
        </w:rPr>
      </w:pPr>
      <w:r>
        <w:rPr>
          <w:rFonts w:ascii="sans-serif" w:hAnsi="sans-serif"/>
          <w:color w:val="000000"/>
          <w:sz w:val="22"/>
        </w:rPr>
        <w:t>Part 1 SAD, which started in September 2026, is enrolling up to 30 healthy volunteers across up to five cohorts, placebo-controlled at each dose level. Part 1 MAD will evaluate certain selected doses of KRRO-121 in up to 20 healthy volunteers across two cohorts. The primary goal of Part 1 is to evaluate safety, tolerability and PK of KRRO-121.</w:t>
      </w:r>
    </w:p>
    <w:p>
      <w:pPr>
        <w:pStyle w:val="TextBody"/>
        <w:bidi w:val="0"/>
        <w:spacing w:before="0" w:after="160"/>
        <w:jc w:val="both"/>
        <w:rPr>
          <w:rFonts w:ascii="sans-serif" w:hAnsi="sans-serif"/>
          <w:color w:val="000000"/>
          <w:sz w:val="22"/>
        </w:rPr>
      </w:pPr>
      <w:r>
        <w:rPr>
          <w:rFonts w:ascii="sans-serif" w:hAnsi="sans-serif"/>
          <w:color w:val="000000"/>
          <w:sz w:val="22"/>
        </w:rPr>
        <w:t xml:space="preserve">Part 2 of the ANCHOR program will evaluate KRRO-121 in patients with UCDs, evaluating safety, tolerability, PK and clinical activity. Dosing of UCD patients is expected to start in the first half of 2027, with an interim clinical readout expected in the second half of 2027. For additional information about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ANCHOR program, visit ClinicalTrials.gov (NCT07773246); the subsequent trials in the two-part ANCHOR program will be appended to ClinicalTrials.gov as those trials commence.</w:t>
      </w:r>
    </w:p>
    <w:p>
      <w:pPr>
        <w:pStyle w:val="TextBody"/>
        <w:bidi w:val="0"/>
        <w:spacing w:before="0" w:after="160"/>
        <w:jc w:val="both"/>
        <w:rPr>
          <w:rFonts w:ascii="sans-serif" w:hAnsi="sans-serif"/>
          <w:b/>
          <w:color w:val="000000"/>
          <w:sz w:val="22"/>
        </w:rPr>
      </w:pPr>
      <w:r>
        <w:rPr>
          <w:rFonts w:ascii="sans-serif" w:hAnsi="sans-serif"/>
          <w:b/>
          <w:color w:val="000000"/>
          <w:sz w:val="22"/>
        </w:rPr>
        <w:t>About Hyperammonemia</w:t>
      </w:r>
    </w:p>
    <w:p>
      <w:pPr>
        <w:pStyle w:val="TextBody"/>
        <w:bidi w:val="0"/>
        <w:spacing w:before="0" w:after="160"/>
        <w:jc w:val="both"/>
        <w:rPr>
          <w:rFonts w:ascii="sans-serif" w:hAnsi="sans-serif"/>
          <w:color w:val="000000"/>
          <w:sz w:val="22"/>
        </w:rPr>
      </w:pPr>
      <w:r>
        <w:rPr>
          <w:rFonts w:ascii="sans-serif" w:hAnsi="sans-serif"/>
          <w:color w:val="000000"/>
          <w:sz w:val="22"/>
        </w:rPr>
        <w:t>Hyperammonemia, the dangerous accumulation of ammonia in the blood, manifests across multiple indications, including urea cycle disorders (UCDs) and hepatic encephalopathy (HE). UCDs are rare inborn errors of metabolism involving deficiencies of enzymes required for ureagenesis, the process of converting ammonia to urea for excretion. The absence or deficiency of any of the urea cycle enzymes can result in hyperammonemia and an increased risk of hyperammonemic crises (HACs), which can result in severe and permanent neurological symptoms, coma and death. HE is a neuropsychiatric complication of liver disease characterized by cognitive dysfunction and altered consciousness. HE is primarily caused by the liver’s inability to adequately detoxify ammonia, typically occurring in patients with liver cirrhosis. This leads to ammonia accumulating in the bloodstream and crossing the blood-brain barrier, causing brain dysfunction that ranges from subtle cognitive impairment to severe confusion and coma.</w:t>
      </w:r>
    </w:p>
    <w:p>
      <w:pPr>
        <w:pStyle w:val="TextBody"/>
        <w:bidi w:val="0"/>
        <w:spacing w:before="0" w:after="160"/>
        <w:jc w:val="both"/>
        <w:rPr>
          <w:rFonts w:ascii="sans-serif" w:hAnsi="sans-serif"/>
          <w:b/>
          <w:color w:val="000000"/>
          <w:sz w:val="22"/>
        </w:rPr>
      </w:pPr>
      <w:r>
        <w:rPr>
          <w:rFonts w:ascii="sans-serif" w:hAnsi="sans-serif"/>
          <w:b/>
          <w:color w:val="000000"/>
          <w:sz w:val="22"/>
        </w:rPr>
        <w:t>About KRRO-121</w:t>
      </w:r>
    </w:p>
    <w:p>
      <w:pPr>
        <w:pStyle w:val="TextBody"/>
        <w:bidi w:val="0"/>
        <w:spacing w:before="0" w:after="160"/>
        <w:jc w:val="both"/>
        <w:rPr>
          <w:rFonts w:ascii="sans-serif" w:hAnsi="sans-serif"/>
          <w:sz w:val="22"/>
        </w:rPr>
      </w:pPr>
      <w:r>
        <w:rPr>
          <w:rFonts w:ascii="sans-serif" w:hAnsi="sans-serif"/>
          <w:color w:val="000000"/>
          <w:sz w:val="22"/>
        </w:rPr>
        <w:t xml:space="preserve">KRRO-121 is a GalNAc-conjugated RNA-editing oligonucleotide for the potential treatment of hyperammonemia in patients with UCDs of any mutational background as well as patients with HE. Utilizing Korro’s proprietary OPERA® platform, KRRO-121 is designed to generate a stabilized, </w:t>
      </w:r>
      <w:r>
        <w:rPr>
          <w:rFonts w:ascii="sans-serif" w:hAnsi="sans-serif"/>
          <w:i/>
          <w:color w:val="000000"/>
          <w:sz w:val="22"/>
        </w:rPr>
        <w:t>de novo</w:t>
      </w:r>
      <w:r>
        <w:rPr>
          <w:rFonts w:ascii="sans-serif" w:hAnsi="sans-serif"/>
          <w:color w:val="000000"/>
          <w:sz w:val="22"/>
        </w:rPr>
        <w:t xml:space="preserve"> glutamine synthetase (GS) protein, a critical enzyme involved in ammonia clearance. This synthetic rescue approach is designed to augment ammonia clearance in hyperammonemia-driven diseases such as UCDs and HE. Korro’s preclinical data support the potential for KRRO-121 to be a pan-UCD treatment that may control ammonia levels, along with the potential to enable diet liberalization, reduce dependence on nitrogen scavengers and lower the risk of HACs.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w:t>
      </w:r>
    </w:p>
    <w:p>
      <w:pPr>
        <w:pStyle w:val="TextBody"/>
        <w:bidi w:val="0"/>
        <w:spacing w:before="0" w:after="16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both"/>
        <w:rPr>
          <w:rFonts w:ascii="sans-serif" w:hAnsi="sans-serif"/>
          <w:color w:val="000000"/>
          <w:sz w:val="22"/>
        </w:rPr>
      </w:pPr>
      <w:r>
        <w:rPr>
          <w:rFonts w:ascii="sans-serif" w:hAnsi="sans-serif"/>
          <w:color w:val="000000"/>
          <w:sz w:val="22"/>
        </w:rPr>
        <w:t xml:space="preserve">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the design, conduct, enrollment and progression of the ANCHOR Phase 1/2 clinical trial program, including the timing of results from ANCHOR; the potential of, and market opportunity for, KRRO-121; the extent to which preclinical findings for KRRO-121 translate into clinical results; the therapeutic potential of the OPERA platform; Korro’s ability to provide additional treatment options for, and improve outcomes for, patients living with UCDs; reaching clinical milestones across multiple programs;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risks and uncertainties. Factors that may cause actual results to differ materially from current expectations include, but are not limited to, various factors beyond management’s control including risks associated with preclinical studies and conducting clinical trials; risks associated with validating in clinical trials observations from preclinical studies; risks associated with collaborating with third parties; other risks associated with protecting intellectual property; as well as risks associated with general economic conditions; and other risks and uncertainties indicated from time to time in Korro’s filings with the Securities and Exchange Commission (SEC), including Part II Item 1A. “Risk Factors” in Korro’s Quarterly Report on Form 10-Q filed with the SEC on August 6, 2026, as such may be amended or supplemented by its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press release does not purport to summarize all of the conditions, risks and other attributes of an investment in Korro.</w:t>
      </w:r>
    </w:p>
    <w:p>
      <w:pPr>
        <w:pStyle w:val="TextBody"/>
        <w:bidi w:val="0"/>
        <w:spacing w:before="0" w:after="160"/>
        <w:jc w:val="both"/>
        <w:rPr>
          <w:rFonts w:ascii="sans-serif" w:hAnsi="sans-serif"/>
          <w:sz w:val="22"/>
        </w:rPr>
      </w:pPr>
      <w:r>
        <w:rPr>
          <w:rFonts w:ascii="sans-serif" w:hAnsi="sans-serif"/>
          <w:b/>
          <w:color w:val="000000"/>
          <w:sz w:val="22"/>
        </w:rPr>
        <w:t>Korro Bio Contact Information </w:t>
      </w:r>
      <w:r>
        <w:rPr>
          <w:rFonts w:ascii="sans-serif" w:hAnsi="sans-serif"/>
          <w:color w:val="000000"/>
          <w:sz w:val="22"/>
        </w:rPr>
        <w:t xml:space="preserve"> </w:t>
      </w:r>
    </w:p>
    <w:p>
      <w:pPr>
        <w:pStyle w:val="TextBody"/>
        <w:bidi w:val="0"/>
        <w:jc w:val="both"/>
        <w:rPr>
          <w:rFonts w:ascii="sans-serif" w:hAnsi="sans-serif"/>
          <w:sz w:val="22"/>
        </w:rPr>
      </w:pPr>
      <w:r>
        <w:rPr>
          <w:rFonts w:ascii="sans-serif" w:hAnsi="sans-serif"/>
          <w:b/>
          <w:color w:val="000000"/>
          <w:sz w:val="22"/>
        </w:rPr>
        <w:t>Investor &amp; Media Contact</w:t>
      </w:r>
      <w:r>
        <w:rPr>
          <w:rFonts w:ascii="sans-serif" w:hAnsi="sans-serif"/>
          <w:color w:val="000000"/>
          <w:sz w:val="22"/>
        </w:rPr>
        <w:t xml:space="preserve"> </w:t>
      </w:r>
    </w:p>
    <w:p>
      <w:pPr>
        <w:pStyle w:val="TextBody"/>
        <w:bidi w:val="0"/>
        <w:jc w:val="both"/>
        <w:rPr>
          <w:rFonts w:ascii="sans-serif" w:hAnsi="sans-serif"/>
          <w:color w:val="000000"/>
          <w:sz w:val="22"/>
        </w:rPr>
      </w:pPr>
      <w:r>
        <w:rPr>
          <w:rFonts w:ascii="sans-serif" w:hAnsi="sans-serif"/>
          <w:color w:val="000000"/>
          <w:sz w:val="22"/>
        </w:rPr>
        <w:t>Malini Chatterjee, PhD</w:t>
      </w:r>
    </w:p>
    <w:p>
      <w:pPr>
        <w:pStyle w:val="TextBody"/>
        <w:bidi w:val="0"/>
        <w:jc w:val="both"/>
        <w:rPr>
          <w:rFonts w:ascii="sans-serif" w:hAnsi="sans-serif"/>
          <w:color w:val="000000"/>
          <w:sz w:val="22"/>
        </w:rPr>
      </w:pPr>
      <w:r>
        <w:rPr>
          <w:rFonts w:ascii="sans-serif" w:hAnsi="sans-serif"/>
          <w:color w:val="000000"/>
          <w:sz w:val="22"/>
        </w:rPr>
        <w:t>Blueprint Life Science Group</w:t>
      </w:r>
    </w:p>
    <w:p>
      <w:pPr>
        <w:pStyle w:val="TextBody"/>
        <w:bidi w:val="0"/>
        <w:jc w:val="both"/>
        <w:rPr>
          <w:rFonts w:ascii="sans-serif" w:hAnsi="sans-serif"/>
          <w:color w:val="000000"/>
          <w:sz w:val="22"/>
        </w:rPr>
      </w:pPr>
      <w:r>
        <w:rPr>
          <w:rFonts w:ascii="sans-serif" w:hAnsi="sans-serif"/>
          <w:color w:val="000000"/>
          <w:sz w:val="22"/>
        </w:rPr>
        <w:t>mchatterjee@bplifescience.com or ir@korrobio.com</w:t>
      </w:r>
    </w:p>
    <w:p>
      <w:pPr>
        <w:pStyle w:val="TextBody"/>
        <w:bidi w:val="0"/>
        <w:jc w:val="both"/>
        <w:rPr>
          <w:rFonts w:ascii="sans-serif" w:hAnsi="sans-serif"/>
          <w:color w:val="000000"/>
          <w:sz w:val="22"/>
        </w:rPr>
      </w:pPr>
      <w:r>
        <w:rPr>
          <w:rFonts w:ascii="sans-serif" w:hAnsi="sans-serif"/>
          <w:color w:val="000000"/>
          <w:sz w:val="22"/>
        </w:rPr>
        <w:t>917.330.4269</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2237</Words>
  <Characters>13015</Characters>
  <CharactersWithSpaces>15242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