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60" w:right="1580" w:hanging="3639"/>
        <w:spacing w:after="0" w:line="360"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226" w:lineRule="exact"/>
        <w:rPr>
          <w:sz w:val="24"/>
          <w:szCs w:val="24"/>
          <w:color w:val="auto"/>
        </w:rPr>
      </w:pPr>
    </w:p>
    <w:p>
      <w:pPr>
        <w:ind w:left="2620" w:right="1600" w:hanging="2599"/>
        <w:spacing w:after="0" w:line="336" w:lineRule="auto"/>
        <w:tabs>
          <w:tab w:leader="none" w:pos="48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6"/>
          <w:szCs w:val="16"/>
          <w:b w:val="1"/>
          <w:bCs w:val="1"/>
          <w:color w:val="auto"/>
        </w:rPr>
        <w:t>_____________________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6"/>
          <w:szCs w:val="16"/>
          <w:b w:val="1"/>
          <w:bCs w:val="1"/>
          <w:color w:val="auto"/>
        </w:rPr>
        <w:t>_____________________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001-39062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Korro Bio,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500" w:type="dxa"/>
            <w:vAlign w:val="bottom"/>
            <w:gridSpan w:val="3"/>
          </w:tcPr>
          <w:p>
            <w:pPr>
              <w:jc w:val="center"/>
              <w:ind w:left="10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40" w:type="dxa"/>
            <w:vAlign w:val="bottom"/>
          </w:tcPr>
          <w:p>
            <w:pPr>
              <w:jc w:val="right"/>
              <w:ind w:right="2301"/>
              <w:spacing w:after="0"/>
              <w:rPr>
                <w:sz w:val="20"/>
                <w:szCs w:val="20"/>
                <w:color w:val="auto"/>
              </w:rPr>
            </w:pPr>
            <w:r>
              <w:rPr>
                <w:rFonts w:ascii="Times New Roman" w:cs="Times New Roman" w:eastAsia="Times New Roman" w:hAnsi="Times New Roman"/>
                <w:sz w:val="18"/>
                <w:szCs w:val="18"/>
                <w:b w:val="1"/>
                <w:bCs w:val="1"/>
                <w:color w:val="auto"/>
              </w:rPr>
              <w:t>47-2324450</w:t>
            </w:r>
          </w:p>
        </w:tc>
        <w:tc>
          <w:tcPr>
            <w:tcW w:w="0" w:type="dxa"/>
            <w:vAlign w:val="bottom"/>
          </w:tcPr>
          <w:p>
            <w:pPr>
              <w:spacing w:after="0"/>
              <w:rPr>
                <w:sz w:val="1"/>
                <w:szCs w:val="1"/>
                <w:color w:val="auto"/>
              </w:rPr>
            </w:pPr>
          </w:p>
        </w:tc>
      </w:tr>
      <w:tr>
        <w:trPr>
          <w:trHeight w:val="190"/>
        </w:trPr>
        <w:tc>
          <w:tcPr>
            <w:tcW w:w="7300" w:type="dxa"/>
            <w:vAlign w:val="bottom"/>
            <w:gridSpan w:val="7"/>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940" w:type="dxa"/>
            <w:vAlign w:val="bottom"/>
          </w:tcPr>
          <w:p>
            <w:pPr>
              <w:jc w:val="center"/>
              <w:ind w:right="1581"/>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231"/>
        </w:trPr>
        <w:tc>
          <w:tcPr>
            <w:tcW w:w="4500" w:type="dxa"/>
            <w:vAlign w:val="bottom"/>
            <w:gridSpan w:val="3"/>
          </w:tcPr>
          <w:p>
            <w:pPr>
              <w:jc w:val="center"/>
              <w:ind w:left="1040"/>
              <w:spacing w:after="0"/>
              <w:rPr>
                <w:sz w:val="20"/>
                <w:szCs w:val="20"/>
                <w:color w:val="auto"/>
              </w:rPr>
            </w:pPr>
            <w:r>
              <w:rPr>
                <w:rFonts w:ascii="Times New Roman" w:cs="Times New Roman" w:eastAsia="Times New Roman" w:hAnsi="Times New Roman"/>
                <w:sz w:val="18"/>
                <w:szCs w:val="18"/>
                <w:b w:val="1"/>
                <w:bCs w:val="1"/>
                <w:color w:val="auto"/>
                <w:w w:val="99"/>
              </w:rPr>
              <w:t>60 First Street, 2nd Floor, Suite 250</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500" w:type="dxa"/>
            <w:vAlign w:val="bottom"/>
            <w:gridSpan w:val="3"/>
          </w:tcPr>
          <w:p>
            <w:pPr>
              <w:jc w:val="center"/>
              <w:ind w:left="1040"/>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40" w:type="dxa"/>
            <w:vAlign w:val="bottom"/>
          </w:tcPr>
          <w:p>
            <w:pPr>
              <w:jc w:val="right"/>
              <w:ind w:right="2501"/>
              <w:spacing w:after="0"/>
              <w:rPr>
                <w:sz w:val="20"/>
                <w:szCs w:val="20"/>
                <w:color w:val="auto"/>
              </w:rPr>
            </w:pPr>
            <w:r>
              <w:rPr>
                <w:rFonts w:ascii="Times New Roman" w:cs="Times New Roman" w:eastAsia="Times New Roman" w:hAnsi="Times New Roman"/>
                <w:sz w:val="18"/>
                <w:szCs w:val="18"/>
                <w:b w:val="1"/>
                <w:bCs w:val="1"/>
                <w:color w:val="auto"/>
              </w:rPr>
              <w:t>02141</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ind w:left="1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940" w:type="dxa"/>
            <w:vAlign w:val="bottom"/>
          </w:tcPr>
          <w:p>
            <w:pPr>
              <w:jc w:val="center"/>
              <w:ind w:right="160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28"/>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(617) 468-1999</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300" w:type="dxa"/>
            <w:vAlign w:val="bottom"/>
            <w:gridSpan w:val="7"/>
          </w:tcPr>
          <w:p>
            <w:pPr>
              <w:jc w:val="center"/>
              <w:ind w:left="38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45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3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4500" w:type="dxa"/>
            <w:vAlign w:val="bottom"/>
            <w:gridSpan w:val="3"/>
            <w:vMerge w:val="continue"/>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0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940" w:type="dxa"/>
            <w:vAlign w:val="bottom"/>
          </w:tcPr>
          <w:p>
            <w:pPr>
              <w:jc w:val="center"/>
              <w:ind w:right="102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KRRO</w:t>
            </w:r>
          </w:p>
        </w:tc>
        <w:tc>
          <w:tcPr>
            <w:tcW w:w="120" w:type="dxa"/>
            <w:vAlign w:val="bottom"/>
          </w:tcPr>
          <w:p>
            <w:pPr>
              <w:spacing w:after="0"/>
              <w:rPr>
                <w:sz w:val="17"/>
                <w:szCs w:val="17"/>
                <w:color w:val="auto"/>
              </w:rPr>
            </w:pPr>
          </w:p>
        </w:tc>
        <w:tc>
          <w:tcPr>
            <w:tcW w:w="1100" w:type="dxa"/>
            <w:vAlign w:val="bottom"/>
            <w:tcBorders>
              <w:top w:val="single" w:sz="8" w:color="auto"/>
            </w:tcBorders>
            <w:gridSpan w:val="2"/>
          </w:tcPr>
          <w:p>
            <w:pPr>
              <w:spacing w:after="0"/>
              <w:rPr>
                <w:sz w:val="17"/>
                <w:szCs w:val="17"/>
                <w:color w:val="auto"/>
              </w:rPr>
            </w:pPr>
          </w:p>
        </w:tc>
        <w:tc>
          <w:tcPr>
            <w:tcW w:w="3940" w:type="dxa"/>
            <w:vAlign w:val="bottom"/>
            <w:tcBorders>
              <w:top w:val="single" w:sz="8" w:color="auto"/>
            </w:tcBorders>
          </w:tcPr>
          <w:p>
            <w:pPr>
              <w:jc w:val="center"/>
              <w:ind w:right="1021"/>
              <w:spacing w:after="0"/>
              <w:rPr>
                <w:sz w:val="20"/>
                <w:szCs w:val="20"/>
                <w:color w:val="auto"/>
              </w:rPr>
            </w:pPr>
            <w:r>
              <w:rPr>
                <w:rFonts w:ascii="Times New Roman" w:cs="Times New Roman" w:eastAsia="Times New Roman" w:hAnsi="Times New Roman"/>
                <w:sz w:val="16"/>
                <w:szCs w:val="16"/>
                <w:color w:val="auto"/>
              </w:rPr>
              <w:t>The Nasdaq Capital Market</w:t>
            </w:r>
          </w:p>
        </w:tc>
        <w:tc>
          <w:tcPr>
            <w:tcW w:w="0" w:type="dxa"/>
            <w:vAlign w:val="bottom"/>
          </w:tcPr>
          <w:p>
            <w:pPr>
              <w:spacing w:after="0"/>
              <w:rPr>
                <w:sz w:val="1"/>
                <w:szCs w:val="1"/>
                <w:color w:val="auto"/>
              </w:rPr>
            </w:pPr>
          </w:p>
        </w:tc>
      </w:tr>
    </w:tbl>
    <w:p>
      <w:pPr>
        <w:spacing w:after="0" w:line="4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6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3, 2026, the registrant had 13,725,646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702945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38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Unless the context otherwise indicates, references in this Quarterly Report on Form 10-Q to the “Company,” “we,” “our” and “us” refer, collectively, to Korro Bio, Inc., a Delaware corporation, and its consolidated subsidiaries (including Legacy Korro) after completion of our November 2023 business combination. The term “Legacy Korro” refers to privately held Korro Bio Ops, Inc. (formerly known as Korro Bio, Inc.), which we acquired in the November 2023 business combination.</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use various trademarks and trade names in our business, including without limitation our corporate name and logo. All other trademarks or trade names referred to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to the fullest extent under applicable law, their rights thereto.</w:t>
      </w:r>
    </w:p>
    <w:p>
      <w:pPr>
        <w:spacing w:after="0" w:line="18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when we refer to our leads or lead candidates, we are referring to our RNA-editing oligonucleotides, or REOs, that we are researching for potential nomination as a development candidate. When we refer to our development candidates, we generally mean an REO that we have nominated for clinical development.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or this Quarterly Report, includes statements that are not historical facts and are considered forward-looking within the meaning of Section 27A of the Securities Act of 1933, as amended, or the Securities Act, and Section 21E of the Securities Exchange Act of 1934, as amended, or the Exchange Act. Our forward-looking statements include, but are not limited to, express or implied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 “may,” “might,” “plan,” “possible,” “potential,” “predict,” “project,” “should,” “will,” “would” and similar expressions may identify forward-looking statements, but the absence of these words does not mean that a statement is not forward-looking. Forward-looking statements in this Quarterly Report may include, for example, express or implied statements about:</w:t>
      </w:r>
    </w:p>
    <w:p>
      <w:pPr>
        <w:spacing w:after="0" w:line="84" w:lineRule="exact"/>
        <w:rPr>
          <w:sz w:val="20"/>
          <w:szCs w:val="20"/>
          <w:color w:val="auto"/>
        </w:rPr>
      </w:pPr>
    </w:p>
    <w:p>
      <w:pPr>
        <w:ind w:left="1020" w:right="3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Phase 1/2 clinical trial program of KRRO-121, or ANCHOR, including the completion of Part 1 in healthy volunteers, start of dosing of patients with urea cycle disorders, or UCD, and timing of interim clinical readout;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development of KRRO-111, including ongoing studies, and the timing of regulatory submission;</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make regulatory submissions and obtain regulatory approvals and clearances, including initiating Part 2 of ANCHOR and any investigational new drug application, or IND, or comparable foreign application for KRRO-121 or KRRO-111 and any other developmental candidates;</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by the U.S. Food and Drug Administration, or the FDA, and other regulatory authorities of data from clinical trials conducted outside the United States;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KRRO-121 to treat hyperammonemia in patients with UCD and hepatic encephalopathy, or HE, and the development and regulatory pathway for KRRO-121 in HE;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orphan drug designation granted by the European Commission and rare pediatric disease designation granted by the FDA for KRRO-121 for the treatment of UCD;</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cost of and other statements regarding our research and development programs and our current and future preclinical studies and clinical trials, including statements regarding the timing of initiation and completion of studies or trials and related preparatory work, and the period during which the results of the trials will become available, including the availability of interim, topline or preliminary data;</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runway and operating expenses (including research and development) and capital expenditure requirements, and our ability to obtain additional funding;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our organizational streamlining and workforce reductions;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therapeutic and commercial potential of our development candidates, including the potential of KRRO-121 as a first-in-class treatment and of KRRO-111 as a best-in-class treatment;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results of preclinical studies may be predictive of results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our collaboration and license agreement with Novo Nordisk A/S, or Novo Nordisk, including the expected effective date of the termination, the reimbursement of wind-down costs and the expected recognition of the remaining deferred revenue under the agreement in the fourth quarter of 2026, and any future collaboration or licensing arrangements;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the impact of, regulatory requirements, obligations and restrictions on our business and operations;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operate our business without infringing upon the intellectual property rights of others, including our ability to obtain and maintain rights to the technologies required to develop and commercialize our development candidates;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developments, including the impact on our competitive position of rival products and development candidates, such as therapies in development for UCD and alpha-1 antitrypsin deficiency, or AATD, and our ability to meet such competition;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020" w:right="2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including contract research organizations, clinical trial sites in Australia and third-party manufacturers and suppliers;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and geopolitical conditions, including inflation, interest rates, tariffs and military hostilities, on our business and operations;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growth of our business.</w:t>
      </w:r>
    </w:p>
    <w:p>
      <w:pPr>
        <w:spacing w:after="0" w:line="2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including those set forth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Part II, Item 1A of this Quarterly Report and the “</w:t>
      </w:r>
      <w:r>
        <w:rPr>
          <w:rFonts w:ascii="Times New Roman" w:cs="Times New Roman" w:eastAsia="Times New Roman" w:hAnsi="Times New Roman"/>
          <w:sz w:val="18"/>
          <w:szCs w:val="18"/>
          <w:i w:val="1"/>
          <w:iCs w:val="1"/>
          <w:color w:val="auto"/>
        </w:rPr>
        <w:t>Summary of Risk Factors</w:t>
      </w:r>
      <w:r>
        <w:rPr>
          <w:rFonts w:ascii="Times New Roman" w:cs="Times New Roman" w:eastAsia="Times New Roman" w:hAnsi="Times New Roman"/>
          <w:sz w:val="18"/>
          <w:szCs w:val="18"/>
          <w:color w:val="auto"/>
        </w:rPr>
        <w:t>” below. Given these risks and uncertainties, you should not place undue reliance on these forward-looking statements. Should one or more of the risks or uncertainties described in this Quarterly Report, or should underlying assumptions prove incorrect, actual results and plans could differ materially from those expressed in any forward-looking statements. Except as otherwise required by applicable law, we disclaim any duty to update any forward-looking statements, all of which are expressly qualified by the statements in this section, to reflect events or circumstances after the date of this Quarterly Report. We qualify all of our forward-looking statements by these cautionary statements.</w:t>
      </w: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93" w:right="5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Our business involves significant risks. Below is a summary of the material risks that our business faces, which makes an investment in our securities speculative and risky. This summary does not address all these risks. These risks are more fully described below under the heading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Part II, Item 1A of this Quarterly Report. Before making investment decisions regarding our securities, you should carefully consider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risks. The occurrence of any of the events or developments described below could have a material adverse effect on our business, results of operations, financial condition, prospects and stock price. In such event, the market price of our securities could decline, and you could lose all or part of your investment. Further, there are additional risks not described below that are either not currently known to us or that we currently deem immaterial, and these additional risks could also materially impair our business, operations or market price of our securities.</w:t>
      </w:r>
    </w:p>
    <w:p>
      <w:pPr>
        <w:spacing w:after="0" w:line="297" w:lineRule="exact"/>
        <w:rPr>
          <w:sz w:val="20"/>
          <w:szCs w:val="20"/>
          <w:color w:val="auto"/>
        </w:rPr>
      </w:pPr>
    </w:p>
    <w:p>
      <w:pPr>
        <w:ind w:left="1020" w:right="1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expect to incur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become profitable.</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will be forced to delay, reduce, eliminate or prioritize among our research and development programs or future commercialization efforts.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preclinical studies or clinical trials of any lead candidates or development candidates fail to demonstrate safety and efficacy to the satisfaction of regulatory authorities or do not otherwise produce positive results (such as we experienced in the Phase 1/2a REWRITE clinical trial of KRRO-110 for AATD), we may incur additional costs or experience delays in completing, or ultimately be unable to complete, the development and commercialization of such development candidates.</w:t>
      </w:r>
    </w:p>
    <w:p>
      <w:pPr>
        <w:spacing w:after="0" w:line="71"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substantially dependent on the success of KRRO-121, our lead development candidate, which only recently entered clinical development and has not been administered to any patient with UCD or HE. If KRRO-121 fails to advance successfully, our business would be materially and adversely affected.</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ANCHOR is the first clinical trial of KRRO-121 and of any development candidate designed to generate a de novo protein using our OPERA platform, and its design, including its initial evaluation may not generate data sufficient to support further development of, or regulatory approval.</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initiated any clinical trial of KRRO-121 in patients with HE, and the development and regulatory pathway for KRRO-121 in HE is uncertain and is likely to require larger, longer and more costly clinical trials than in UCD.</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including patients with UCD, which is a rare disease, or other delays in our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our organizational streamlining and workforce reductions.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 editing field and RNA editing in particular is relatively new and is evolving rapidly. We are very early in our research and development efforts and may not be successful in identifying and developing development candidates. It will be many years before we or our collaborators commercialize a development candidate or generate any revenues, if ever. Additionally, other genetic editing technologies may be discovered that provide significant advantages over RNA editing, which could materially harm our business.</w:t>
      </w:r>
    </w:p>
    <w:p>
      <w:pPr>
        <w:spacing w:after="0" w:line="71"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RNA editing is a novel technology with limited clinical validation for human therapeutic use. The approaches we take to discover and develop novel therapeutics are unproven and may never lead to marketable products.</w:t>
      </w:r>
    </w:p>
    <w:p>
      <w:pPr>
        <w:spacing w:after="0" w:line="53"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early in our development efforts, and our preclinical studies and clinical trials may not be successful. KRRO-121 only recently entered clinical development, and we have not completed any clinical trial of any of our development candidates. Any favorable results we have, including those of KRRO-121 and KRRO-111, may not be predictive of results that may be observed in later preclinical studies or clinical trials, such as our experience in the Phase 1/2a REWRITE clinical trial of KRRO-110 for AATD, and we have experienced, and may continue to experience, delays in developing a potential treatment for AATD. If we are unable to commercialize our development candidates or experience significant delays in doing so, our business will be materially harmed.</w:t>
      </w:r>
    </w:p>
    <w:p>
      <w:pPr>
        <w:spacing w:after="0" w:line="79"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development candidates we develop may fail in preclinical or clinical development or be delayed to a point where they do not become commercially viable.</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including ANCHOR, may change as more data become available and are subject to audit and verification procedures that could result in material changes in the final data.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 w:name="page6"/>
    <w:bookmarkEnd w:id="5"/>
    <w:p>
      <w:pPr>
        <w:ind w:left="503" w:right="4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REOs, which are considered a relatively new class of drugs, there is increased risk that the outcome of our clinical trials will not be sufficient to obtain regulatory approval.</w:t>
      </w:r>
    </w:p>
    <w:p>
      <w:pPr>
        <w:spacing w:after="0" w:line="53" w:lineRule="exact"/>
        <w:rPr>
          <w:rFonts w:ascii="Times New Roman" w:cs="Times New Roman" w:eastAsia="Times New Roman" w:hAnsi="Times New Roman"/>
          <w:sz w:val="18"/>
          <w:szCs w:val="18"/>
          <w:color w:val="auto"/>
        </w:rPr>
      </w:pPr>
    </w:p>
    <w:p>
      <w:pPr>
        <w:ind w:left="503" w:right="8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protect intellectual property rights related to any of our lead candidates or development candidates, development and commercialization of our REO leads or development candidates may be adversely affected.</w:t>
      </w:r>
    </w:p>
    <w:p>
      <w:pPr>
        <w:spacing w:after="0" w:line="53" w:lineRule="exact"/>
        <w:rPr>
          <w:rFonts w:ascii="Times New Roman" w:cs="Times New Roman" w:eastAsia="Times New Roman" w:hAnsi="Times New Roman"/>
          <w:sz w:val="18"/>
          <w:szCs w:val="18"/>
          <w:color w:val="auto"/>
        </w:rPr>
      </w:pPr>
    </w:p>
    <w:p>
      <w:pPr>
        <w:ind w:left="503" w:right="4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including contract research organizations and clinical trial sites in Australia, to conduct our clinical trials, including ANCHOR, and those third parties may not perform satisfactorily.</w:t>
      </w:r>
    </w:p>
    <w:p>
      <w:pPr>
        <w:spacing w:after="0" w:line="53"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Novo Nordisk has elected to terminate our collaboration agreement, and we may not be successful in finding other strategic collaborators for continuing development of certain of our development candidates or successfully commercializing or competing in the market for certain indications.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is volatile and fluctuates substantially, which could result in substantial losses for our stockholders.</w:t>
      </w:r>
    </w:p>
    <w:p>
      <w:pPr>
        <w:spacing w:after="0" w:line="117" w:lineRule="exact"/>
        <w:rPr>
          <w:rFonts w:ascii="Times New Roman" w:cs="Times New Roman" w:eastAsia="Times New Roman" w:hAnsi="Times New Roman"/>
          <w:sz w:val="18"/>
          <w:szCs w:val="18"/>
          <w:color w:val="auto"/>
        </w:rPr>
      </w:pPr>
    </w:p>
    <w:p>
      <w:pPr>
        <w:ind w:left="503" w:right="4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and bylaws and provisions under Delaware law could make an acquisition of us more difficult and may prevent attempts by our stockholders to replace or remove our management.</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principal stockholders have the ability to control or significantly influence all matters submitted to our stockholders for approval.</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could adversely affect our business, financial condition, results of operations or cash flows.</w:t>
      </w:r>
    </w:p>
    <w:p>
      <w:pPr>
        <w:spacing w:after="0" w:line="117" w:lineRule="exact"/>
        <w:rPr>
          <w:rFonts w:ascii="Times New Roman" w:cs="Times New Roman" w:eastAsia="Times New Roman" w:hAnsi="Times New Roman"/>
          <w:sz w:val="18"/>
          <w:szCs w:val="18"/>
          <w:color w:val="auto"/>
        </w:rPr>
      </w:pPr>
    </w:p>
    <w:p>
      <w:pPr>
        <w:jc w:val="both"/>
        <w:ind w:left="503" w:right="26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impacted by macroeconomic conditions, including inflation, rising interest rates and volatile market conditions, and other uncertainties beyond our control, including geopolitical events, such as ongoing U.S. and Israeli military action in Iran, and effects thereof.</w:t>
      </w:r>
    </w:p>
    <w:p>
      <w:pPr>
        <w:spacing w:after="0" w:line="176" w:lineRule="exact"/>
        <w:rPr>
          <w:sz w:val="20"/>
          <w:szCs w:val="20"/>
          <w:color w:val="auto"/>
        </w:rPr>
      </w:pPr>
    </w:p>
    <w:p>
      <w:pPr>
        <w:jc w:val="center"/>
        <w:ind w:right="417"/>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3"/>
          </w:cols>
          <w:pgMar w:left="837" w:top="1093" w:right="4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(amounts in thousands, except share and par value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40,215</w:t>
            </w:r>
          </w:p>
        </w:tc>
        <w:tc>
          <w:tcPr>
            <w:tcW w:w="1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21,824</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64,779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53,332</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6,247</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108,935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82,372</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8,164</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8,058</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marketable securities</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19,829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100" w:type="dxa"/>
            <w:vAlign w:val="bottom"/>
          </w:tcPr>
          <w:p>
            <w:pPr>
              <w:spacing w:after="0"/>
              <w:rPr>
                <w:sz w:val="17"/>
                <w:szCs w:val="17"/>
                <w:color w:val="auto"/>
              </w:rPr>
            </w:pPr>
          </w:p>
        </w:tc>
      </w:tr>
      <w:tr>
        <w:trPr>
          <w:trHeight w:val="23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148,120</w:t>
            </w:r>
          </w:p>
        </w:tc>
        <w:tc>
          <w:tcPr>
            <w:tcW w:w="1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113,506</w:t>
            </w:r>
          </w:p>
        </w:tc>
        <w:tc>
          <w:tcPr>
            <w:tcW w:w="100" w:type="dxa"/>
            <w:vAlign w:val="bottom"/>
            <w:shd w:val="clear" w:color="auto" w:fill="CFF0FC"/>
          </w:tcPr>
          <w:p>
            <w:pPr>
              <w:spacing w:after="0"/>
              <w:rPr>
                <w:sz w:val="20"/>
                <w:szCs w:val="20"/>
                <w:color w:val="auto"/>
              </w:rPr>
            </w:pPr>
          </w:p>
        </w:tc>
      </w:tr>
      <w:tr>
        <w:trPr>
          <w:trHeight w:val="183"/>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1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7,614</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7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14,923</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11,937</w:t>
            </w:r>
          </w:p>
        </w:tc>
        <w:tc>
          <w:tcPr>
            <w:tcW w:w="100" w:type="dxa"/>
            <w:vAlign w:val="bottom"/>
            <w:tcBorders>
              <w:top w:val="single" w:sz="8" w:color="CFF0FC"/>
            </w:tcBorders>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38,450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40,814</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7,835</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62,067</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at September 30, 2026 and December 31, 2025;</w:t>
            </w: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 shares issued and outstanding at September 30, 2026 and December 31, 2025</w:t>
            </w: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$0.001 par value; 200,000,000 shares authorized at September 30, 2026 and December 31, 2025;</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14,725,646 shares and 9,417,295 shares issued at September 30, 2026 and December 31, 2025, respectively;</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13,725,646 shares and 9,417,295 shares outstanding at September 30, 2026 and December 31, 2025, respectively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r>
      <w:tr>
        <w:trPr>
          <w:trHeight w:val="205"/>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540,720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435,064</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stock, at cost, 1,000,000 shares held at September 30, 2026 and no shares held at December 31, 2025</w:t>
            </w:r>
          </w:p>
        </w:tc>
        <w:tc>
          <w:tcPr>
            <w:tcW w:w="20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(439,935)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(383,846)</w:t>
            </w:r>
          </w:p>
        </w:tc>
      </w:tr>
      <w:tr>
        <w:trPr>
          <w:trHeight w:val="196"/>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88,374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51,439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148,120</w:t>
            </w:r>
          </w:p>
        </w:tc>
        <w:tc>
          <w:tcPr>
            <w:tcW w:w="1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113,506</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-3171190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-3154045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-2373630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-1851025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(amounts 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332"/>
              <w:spacing w:after="0" w:line="136"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51"/>
              <w:spacing w:after="0" w:line="136"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32"/>
              <w:spacing w:after="0" w:line="136"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51"/>
              <w:spacing w:after="0" w:line="136"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Collaboration revenue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charge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18,456</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59,002</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76,559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(18,456)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(59,002)</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(71,459)</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(17,288)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(55,626)</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(67,217)</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(463)</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5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(17,548)</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(18,061)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(56,089)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(67,218)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gain on available-for-sale marketable securities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(558)</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adjustments, net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5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(17,664)</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(18,024)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(56,606)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(67,272)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4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(0.98)</w:t>
            </w:r>
          </w:p>
        </w:tc>
        <w:tc>
          <w:tcPr>
            <w:tcW w:w="3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(1.92)</w:t>
            </w:r>
          </w:p>
        </w:tc>
        <w:tc>
          <w:tcPr>
            <w:tcW w:w="2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(3.57)</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191"/>
        </w:trPr>
        <w:tc>
          <w:tcPr>
            <w:tcW w:w="554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basic and</w:t>
            </w:r>
          </w:p>
        </w:tc>
        <w:tc>
          <w:tcPr>
            <w:tcW w:w="28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17,867,091</w:t>
            </w: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9,391,559</w:t>
            </w:r>
          </w:p>
        </w:tc>
        <w:tc>
          <w:tcPr>
            <w:tcW w:w="1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15,717,711</w:t>
            </w:r>
          </w:p>
        </w:tc>
        <w:tc>
          <w:tcPr>
            <w:tcW w:w="26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9,388,816</w:t>
            </w: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-3115310</wp:posOffset>
            </wp:positionV>
            <wp:extent cx="9398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-3115310</wp:posOffset>
            </wp:positionV>
            <wp:extent cx="9398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-2022475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-2022475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-2022475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-2022475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-1456690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-1456690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-1456690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-1456690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-1173480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-1173480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-1173480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-1173480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-591185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-591185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-591185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-591185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-281940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-281940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-281940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(amounts in thousands, except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2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4"/>
        </w:trPr>
        <w:tc>
          <w:tcPr>
            <w:tcW w:w="2500" w:type="dxa"/>
            <w:vAlign w:val="bottom"/>
          </w:tcPr>
          <w:p>
            <w:pPr>
              <w:spacing w:after="0"/>
              <w:rPr>
                <w:sz w:val="10"/>
                <w:szCs w:val="10"/>
                <w:color w:val="auto"/>
              </w:rPr>
            </w:pPr>
          </w:p>
        </w:tc>
        <w:tc>
          <w:tcPr>
            <w:tcW w:w="1260" w:type="dxa"/>
            <w:vAlign w:val="bottom"/>
            <w:tcBorders>
              <w:bottom w:val="single" w:sz="8" w:color="auto"/>
            </w:tcBorders>
            <w:gridSpan w:val="2"/>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bottom w:val="single" w:sz="8" w:color="auto"/>
            </w:tcBorders>
            <w:gridSpan w:val="2"/>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86"/>
              <w:spacing w:after="0" w:line="124" w:lineRule="exact"/>
              <w:rPr>
                <w:sz w:val="20"/>
                <w:szCs w:val="20"/>
                <w:color w:val="auto"/>
              </w:rPr>
            </w:pPr>
            <w:r>
              <w:rPr>
                <w:rFonts w:ascii="Times New Roman" w:cs="Times New Roman" w:eastAsia="Times New Roman" w:hAnsi="Times New Roman"/>
                <w:sz w:val="11"/>
                <w:szCs w:val="11"/>
                <w:b w:val="1"/>
                <w:bCs w:val="1"/>
                <w:color w:val="auto"/>
                <w:w w:val="95"/>
              </w:rPr>
              <w:t>Paid-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0"/>
                <w:szCs w:val="10"/>
                <w:color w:val="auto"/>
              </w:rPr>
            </w:pPr>
          </w:p>
        </w:tc>
        <w:tc>
          <w:tcPr>
            <w:tcW w:w="1040" w:type="dxa"/>
            <w:vAlign w:val="bottom"/>
            <w:gridSpan w:val="2"/>
          </w:tcPr>
          <w:p>
            <w:pPr>
              <w:jc w:val="right"/>
              <w:ind w:right="380"/>
              <w:spacing w:after="0" w:line="124"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10"/>
                <w:szCs w:val="10"/>
                <w:color w:val="auto"/>
              </w:rPr>
            </w:pPr>
          </w:p>
        </w:tc>
        <w:tc>
          <w:tcPr>
            <w:tcW w:w="110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15"/>
        </w:trPr>
        <w:tc>
          <w:tcPr>
            <w:tcW w:w="2500" w:type="dxa"/>
            <w:vAlign w:val="bottom"/>
          </w:tcPr>
          <w:p>
            <w:pPr>
              <w:spacing w:after="0"/>
              <w:rPr>
                <w:sz w:val="10"/>
                <w:szCs w:val="10"/>
                <w:color w:val="auto"/>
              </w:rPr>
            </w:pPr>
          </w:p>
        </w:tc>
        <w:tc>
          <w:tcPr>
            <w:tcW w:w="1040" w:type="dxa"/>
            <w:vAlign w:val="bottom"/>
            <w:tcBorders>
              <w:bottom w:val="single" w:sz="8" w:color="auto"/>
            </w:tcBorders>
          </w:tcPr>
          <w:p>
            <w:pPr>
              <w:jc w:val="right"/>
              <w:ind w:right="32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220" w:type="dxa"/>
            <w:vAlign w:val="bottom"/>
          </w:tcPr>
          <w:p>
            <w:pPr>
              <w:spacing w:after="0"/>
              <w:rPr>
                <w:sz w:val="10"/>
                <w:szCs w:val="10"/>
                <w:color w:val="auto"/>
              </w:rPr>
            </w:pPr>
          </w:p>
        </w:tc>
        <w:tc>
          <w:tcPr>
            <w:tcW w:w="1060" w:type="dxa"/>
            <w:vAlign w:val="bottom"/>
            <w:tcBorders>
              <w:bottom w:val="single" w:sz="8" w:color="auto"/>
            </w:tcBorders>
          </w:tcPr>
          <w:p>
            <w:pPr>
              <w:jc w:val="right"/>
              <w:ind w:right="32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86"/>
              <w:spacing w:after="0" w:line="115" w:lineRule="exact"/>
              <w:rPr>
                <w:sz w:val="20"/>
                <w:szCs w:val="20"/>
                <w:color w:val="auto"/>
              </w:rPr>
            </w:pPr>
            <w:r>
              <w:rPr>
                <w:rFonts w:ascii="Times New Roman" w:cs="Times New Roman" w:eastAsia="Times New Roman" w:hAnsi="Times New Roman"/>
                <w:sz w:val="11"/>
                <w:szCs w:val="11"/>
                <w:b w:val="1"/>
                <w:bCs w:val="1"/>
                <w:color w:val="auto"/>
                <w:w w:val="99"/>
              </w:rPr>
              <w:t>In Capital</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26"/>
              <w:spacing w:after="0" w:line="115" w:lineRule="exact"/>
              <w:rPr>
                <w:sz w:val="20"/>
                <w:szCs w:val="20"/>
                <w:color w:val="auto"/>
              </w:rPr>
            </w:pPr>
            <w:r>
              <w:rPr>
                <w:rFonts w:ascii="Times New Roman" w:cs="Times New Roman" w:eastAsia="Times New Roman" w:hAnsi="Times New Roman"/>
                <w:sz w:val="11"/>
                <w:szCs w:val="11"/>
                <w:b w:val="1"/>
                <w:bCs w:val="1"/>
                <w:color w:val="auto"/>
                <w:w w:val="96"/>
              </w:rPr>
              <w:t>Income (Loss)</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66"/>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06"/>
              <w:spacing w:after="0" w:line="115" w:lineRule="exact"/>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5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2025</w:t>
            </w:r>
          </w:p>
        </w:tc>
        <w:tc>
          <w:tcPr>
            <w:tcW w:w="10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9,417,295</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9</w:t>
            </w:r>
          </w:p>
        </w:tc>
        <w:tc>
          <w:tcPr>
            <w:tcW w:w="22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gridSpan w:val="2"/>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435,064</w:t>
            </w:r>
          </w:p>
        </w:tc>
        <w:tc>
          <w:tcPr>
            <w:tcW w:w="300" w:type="dxa"/>
            <w:vAlign w:val="bottom"/>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212</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(383,846)</w:t>
            </w:r>
          </w:p>
        </w:tc>
        <w:tc>
          <w:tcPr>
            <w:tcW w:w="14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51,439</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Exercises of stock options</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1,487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2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2,731</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2,731</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 in connection with the at-</w:t>
            </w: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20"/>
                <w:szCs w:val="20"/>
                <w:color w:val="auto"/>
              </w:rPr>
            </w:pPr>
            <w:r>
              <w:rPr>
                <w:rFonts w:ascii="Times New Roman" w:cs="Times New Roman" w:eastAsia="Times New Roman" w:hAnsi="Times New Roman"/>
                <w:sz w:val="11"/>
                <w:szCs w:val="11"/>
                <w:color w:val="auto"/>
              </w:rPr>
              <w:t>the-market program, net of offering costs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501,861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5,020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 and pre-funded warrants in</w:t>
            </w:r>
          </w:p>
        </w:tc>
        <w:tc>
          <w:tcPr>
            <w:tcW w:w="10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5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connection with the private placement, net of offering</w:t>
            </w:r>
          </w:p>
        </w:tc>
        <w:tc>
          <w:tcPr>
            <w:tcW w:w="10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costs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4,501,928</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2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80,253</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80,258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12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(207)</w:t>
            </w:r>
          </w:p>
        </w:tc>
        <w:tc>
          <w:tcPr>
            <w:tcW w:w="100" w:type="dxa"/>
            <w:vAlign w:val="bottom"/>
          </w:tcPr>
          <w:p>
            <w:pPr>
              <w:spacing w:after="0"/>
              <w:rPr>
                <w:sz w:val="10"/>
                <w:szCs w:val="10"/>
                <w:color w:val="auto"/>
              </w:rPr>
            </w:pPr>
          </w:p>
        </w:tc>
        <w:tc>
          <w:tcPr>
            <w:tcW w:w="10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1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(207)</w:t>
            </w:r>
          </w:p>
        </w:tc>
        <w:tc>
          <w:tcPr>
            <w:tcW w:w="0" w:type="dxa"/>
            <w:vAlign w:val="bottom"/>
          </w:tcPr>
          <w:p>
            <w:pPr>
              <w:spacing w:after="0"/>
              <w:rPr>
                <w:sz w:val="1"/>
                <w:szCs w:val="1"/>
                <w:color w:val="auto"/>
              </w:rPr>
            </w:pPr>
          </w:p>
        </w:tc>
      </w:tr>
      <w:tr>
        <w:trPr>
          <w:trHeight w:val="122"/>
        </w:trPr>
        <w:tc>
          <w:tcPr>
            <w:tcW w:w="25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(19,625)</w:t>
            </w:r>
          </w:p>
        </w:tc>
        <w:tc>
          <w:tcPr>
            <w:tcW w:w="14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(19,625)</w:t>
            </w:r>
          </w:p>
        </w:tc>
        <w:tc>
          <w:tcPr>
            <w:tcW w:w="0" w:type="dxa"/>
            <w:vAlign w:val="bottom"/>
          </w:tcPr>
          <w:p>
            <w:pPr>
              <w:spacing w:after="0"/>
              <w:rPr>
                <w:sz w:val="1"/>
                <w:szCs w:val="1"/>
                <w:color w:val="auto"/>
              </w:rPr>
            </w:pPr>
          </w:p>
        </w:tc>
      </w:tr>
      <w:tr>
        <w:trPr>
          <w:trHeight w:val="20"/>
        </w:trPr>
        <w:tc>
          <w:tcPr>
            <w:tcW w:w="25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0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March 31, 2026</w:t>
            </w:r>
          </w:p>
        </w:tc>
        <w:tc>
          <w:tcPr>
            <w:tcW w:w="10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14,422,571</w:t>
            </w:r>
          </w:p>
        </w:tc>
        <w:tc>
          <w:tcPr>
            <w:tcW w:w="22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14</w:t>
            </w:r>
          </w:p>
        </w:tc>
        <w:tc>
          <w:tcPr>
            <w:tcW w:w="220" w:type="dxa"/>
            <w:vAlign w:val="bottom"/>
          </w:tcPr>
          <w:p>
            <w:pPr>
              <w:spacing w:after="0"/>
              <w:rPr>
                <w:sz w:val="10"/>
                <w:szCs w:val="10"/>
                <w:color w:val="auto"/>
              </w:rPr>
            </w:pPr>
          </w:p>
        </w:tc>
        <w:tc>
          <w:tcPr>
            <w:tcW w:w="10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523,085</w:t>
            </w:r>
          </w:p>
        </w:tc>
        <w:tc>
          <w:tcPr>
            <w:tcW w:w="30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5</w:t>
            </w:r>
          </w:p>
        </w:tc>
        <w:tc>
          <w:tcPr>
            <w:tcW w:w="22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(403,471)</w:t>
            </w:r>
          </w:p>
        </w:tc>
        <w:tc>
          <w:tcPr>
            <w:tcW w:w="1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119,633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50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260" w:type="dxa"/>
            <w:vAlign w:val="bottom"/>
            <w:gridSpan w:val="2"/>
            <w:shd w:val="clear" w:color="auto" w:fill="CFF0FC"/>
          </w:tcPr>
          <w:p>
            <w:pPr>
              <w:jc w:val="right"/>
              <w:ind w:right="2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8"/>
                <w:szCs w:val="8"/>
                <w:color w:val="auto"/>
              </w:rPr>
            </w:pPr>
          </w:p>
        </w:tc>
        <w:tc>
          <w:tcPr>
            <w:tcW w:w="1280" w:type="dxa"/>
            <w:vAlign w:val="bottom"/>
            <w:gridSpan w:val="2"/>
            <w:shd w:val="clear" w:color="auto" w:fill="CFF0FC"/>
          </w:tcPr>
          <w:p>
            <w:pPr>
              <w:jc w:val="right"/>
              <w:ind w:right="2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8"/>
                <w:szCs w:val="8"/>
                <w:color w:val="auto"/>
              </w:rPr>
            </w:pPr>
          </w:p>
        </w:tc>
        <w:tc>
          <w:tcPr>
            <w:tcW w:w="620" w:type="dxa"/>
            <w:vAlign w:val="bottom"/>
            <w:gridSpan w:val="2"/>
            <w:shd w:val="clear" w:color="auto" w:fill="CFF0FC"/>
          </w:tcPr>
          <w:p>
            <w:pPr>
              <w:jc w:val="right"/>
              <w:ind w:right="1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2,703</w:t>
            </w: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100" w:type="dxa"/>
            <w:vAlign w:val="bottom"/>
            <w:gridSpan w:val="2"/>
            <w:shd w:val="clear" w:color="auto" w:fill="CFF0FC"/>
          </w:tcPr>
          <w:p>
            <w:pPr>
              <w:jc w:val="right"/>
              <w:ind w:right="2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1040" w:type="dxa"/>
            <w:vAlign w:val="bottom"/>
            <w:gridSpan w:val="2"/>
            <w:shd w:val="clear" w:color="auto" w:fill="CFF0FC"/>
          </w:tcPr>
          <w:p>
            <w:pPr>
              <w:jc w:val="right"/>
              <w:ind w:right="2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8"/>
                <w:szCs w:val="8"/>
                <w:color w:val="auto"/>
              </w:rPr>
            </w:pPr>
          </w:p>
        </w:tc>
        <w:tc>
          <w:tcPr>
            <w:tcW w:w="9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2,703</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Vesting of restricted stock units</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233,075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1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5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Vesting of performance stock units</w:t>
            </w: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50,000</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5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12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(194)</w:t>
            </w:r>
          </w:p>
        </w:tc>
        <w:tc>
          <w:tcPr>
            <w:tcW w:w="100" w:type="dxa"/>
            <w:vAlign w:val="bottom"/>
          </w:tcPr>
          <w:p>
            <w:pPr>
              <w:spacing w:after="0"/>
              <w:rPr>
                <w:sz w:val="10"/>
                <w:szCs w:val="10"/>
                <w:color w:val="auto"/>
              </w:rPr>
            </w:pPr>
          </w:p>
        </w:tc>
        <w:tc>
          <w:tcPr>
            <w:tcW w:w="10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1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(194)</w:t>
            </w:r>
          </w:p>
        </w:tc>
        <w:tc>
          <w:tcPr>
            <w:tcW w:w="0" w:type="dxa"/>
            <w:vAlign w:val="bottom"/>
          </w:tcPr>
          <w:p>
            <w:pPr>
              <w:spacing w:after="0"/>
              <w:rPr>
                <w:sz w:val="1"/>
                <w:szCs w:val="1"/>
                <w:color w:val="auto"/>
              </w:rPr>
            </w:pPr>
          </w:p>
        </w:tc>
      </w:tr>
      <w:tr>
        <w:trPr>
          <w:trHeight w:val="121"/>
        </w:trPr>
        <w:tc>
          <w:tcPr>
            <w:tcW w:w="25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(18,916)</w:t>
            </w:r>
          </w:p>
        </w:tc>
        <w:tc>
          <w:tcPr>
            <w:tcW w:w="14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(18,916)</w:t>
            </w:r>
          </w:p>
        </w:tc>
        <w:tc>
          <w:tcPr>
            <w:tcW w:w="0" w:type="dxa"/>
            <w:vAlign w:val="bottom"/>
          </w:tcPr>
          <w:p>
            <w:pPr>
              <w:spacing w:after="0"/>
              <w:rPr>
                <w:sz w:val="1"/>
                <w:szCs w:val="1"/>
                <w:color w:val="auto"/>
              </w:rPr>
            </w:pPr>
          </w:p>
        </w:tc>
      </w:tr>
      <w:tr>
        <w:trPr>
          <w:trHeight w:val="20"/>
        </w:trPr>
        <w:tc>
          <w:tcPr>
            <w:tcW w:w="25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0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June 30, 2026</w:t>
            </w:r>
          </w:p>
        </w:tc>
        <w:tc>
          <w:tcPr>
            <w:tcW w:w="10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14,705,646</w:t>
            </w:r>
          </w:p>
        </w:tc>
        <w:tc>
          <w:tcPr>
            <w:tcW w:w="22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14</w:t>
            </w:r>
          </w:p>
        </w:tc>
        <w:tc>
          <w:tcPr>
            <w:tcW w:w="220" w:type="dxa"/>
            <w:vAlign w:val="bottom"/>
          </w:tcPr>
          <w:p>
            <w:pPr>
              <w:spacing w:after="0"/>
              <w:rPr>
                <w:sz w:val="10"/>
                <w:szCs w:val="10"/>
                <w:color w:val="auto"/>
              </w:rPr>
            </w:pPr>
          </w:p>
        </w:tc>
        <w:tc>
          <w:tcPr>
            <w:tcW w:w="10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525,788</w:t>
            </w:r>
          </w:p>
        </w:tc>
        <w:tc>
          <w:tcPr>
            <w:tcW w:w="30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(189)</w:t>
            </w: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(422,387)</w:t>
            </w:r>
          </w:p>
        </w:tc>
        <w:tc>
          <w:tcPr>
            <w:tcW w:w="1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103,226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50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260" w:type="dxa"/>
            <w:vAlign w:val="bottom"/>
            <w:gridSpan w:val="2"/>
            <w:shd w:val="clear" w:color="auto" w:fill="CFF0FC"/>
          </w:tcPr>
          <w:p>
            <w:pPr>
              <w:jc w:val="right"/>
              <w:ind w:right="2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8"/>
                <w:szCs w:val="8"/>
                <w:color w:val="auto"/>
              </w:rPr>
            </w:pPr>
          </w:p>
        </w:tc>
        <w:tc>
          <w:tcPr>
            <w:tcW w:w="1280" w:type="dxa"/>
            <w:vAlign w:val="bottom"/>
            <w:gridSpan w:val="2"/>
            <w:shd w:val="clear" w:color="auto" w:fill="CFF0FC"/>
          </w:tcPr>
          <w:p>
            <w:pPr>
              <w:jc w:val="right"/>
              <w:ind w:right="2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8"/>
                <w:szCs w:val="8"/>
                <w:color w:val="auto"/>
              </w:rPr>
            </w:pPr>
          </w:p>
        </w:tc>
        <w:tc>
          <w:tcPr>
            <w:tcW w:w="620" w:type="dxa"/>
            <w:vAlign w:val="bottom"/>
            <w:gridSpan w:val="2"/>
            <w:shd w:val="clear" w:color="auto" w:fill="CFF0FC"/>
          </w:tcPr>
          <w:p>
            <w:pPr>
              <w:jc w:val="right"/>
              <w:ind w:right="1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2,812</w:t>
            </w: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100" w:type="dxa"/>
            <w:vAlign w:val="bottom"/>
            <w:gridSpan w:val="2"/>
            <w:shd w:val="clear" w:color="auto" w:fill="CFF0FC"/>
          </w:tcPr>
          <w:p>
            <w:pPr>
              <w:jc w:val="right"/>
              <w:ind w:right="2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1040" w:type="dxa"/>
            <w:vAlign w:val="bottom"/>
            <w:gridSpan w:val="2"/>
            <w:shd w:val="clear" w:color="auto" w:fill="CFF0FC"/>
          </w:tcPr>
          <w:p>
            <w:pPr>
              <w:jc w:val="right"/>
              <w:ind w:right="2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8"/>
                <w:szCs w:val="8"/>
                <w:color w:val="auto"/>
              </w:rPr>
            </w:pPr>
          </w:p>
        </w:tc>
        <w:tc>
          <w:tcPr>
            <w:tcW w:w="9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2,812</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Vesting of restricted stock units</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20,000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1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5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pre-funded warrants in exchange for</w:t>
            </w:r>
          </w:p>
        </w:tc>
        <w:tc>
          <w:tcPr>
            <w:tcW w:w="10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common stock</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(1,000,000)</w:t>
            </w:r>
          </w:p>
        </w:tc>
        <w:tc>
          <w:tcPr>
            <w:tcW w:w="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(12,120)</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12,120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5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12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(116)</w:t>
            </w:r>
          </w:p>
        </w:tc>
        <w:tc>
          <w:tcPr>
            <w:tcW w:w="100" w:type="dxa"/>
            <w:vAlign w:val="bottom"/>
          </w:tcPr>
          <w:p>
            <w:pPr>
              <w:spacing w:after="0"/>
              <w:rPr>
                <w:sz w:val="10"/>
                <w:szCs w:val="10"/>
                <w:color w:val="auto"/>
              </w:rPr>
            </w:pPr>
          </w:p>
        </w:tc>
        <w:tc>
          <w:tcPr>
            <w:tcW w:w="10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1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(116)</w:t>
            </w:r>
          </w:p>
        </w:tc>
        <w:tc>
          <w:tcPr>
            <w:tcW w:w="0" w:type="dxa"/>
            <w:vAlign w:val="bottom"/>
          </w:tcPr>
          <w:p>
            <w:pPr>
              <w:spacing w:after="0"/>
              <w:rPr>
                <w:sz w:val="1"/>
                <w:szCs w:val="1"/>
                <w:color w:val="auto"/>
              </w:rPr>
            </w:pPr>
          </w:p>
        </w:tc>
      </w:tr>
      <w:tr>
        <w:trPr>
          <w:trHeight w:val="122"/>
        </w:trPr>
        <w:tc>
          <w:tcPr>
            <w:tcW w:w="25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(17,548)</w:t>
            </w:r>
          </w:p>
        </w:tc>
        <w:tc>
          <w:tcPr>
            <w:tcW w:w="14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(17,548)</w:t>
            </w:r>
          </w:p>
        </w:tc>
        <w:tc>
          <w:tcPr>
            <w:tcW w:w="0" w:type="dxa"/>
            <w:vAlign w:val="bottom"/>
          </w:tcPr>
          <w:p>
            <w:pPr>
              <w:spacing w:after="0"/>
              <w:rPr>
                <w:sz w:val="1"/>
                <w:szCs w:val="1"/>
                <w:color w:val="auto"/>
              </w:rPr>
            </w:pPr>
          </w:p>
        </w:tc>
      </w:tr>
      <w:tr>
        <w:trPr>
          <w:trHeight w:val="20"/>
        </w:trPr>
        <w:tc>
          <w:tcPr>
            <w:tcW w:w="25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0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September 30, 2026</w:t>
            </w:r>
          </w:p>
        </w:tc>
        <w:tc>
          <w:tcPr>
            <w:tcW w:w="10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14,725,646</w:t>
            </w:r>
          </w:p>
        </w:tc>
        <w:tc>
          <w:tcPr>
            <w:tcW w:w="22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14</w:t>
            </w:r>
          </w:p>
        </w:tc>
        <w:tc>
          <w:tcPr>
            <w:tcW w:w="220" w:type="dxa"/>
            <w:vAlign w:val="bottom"/>
          </w:tcPr>
          <w:p>
            <w:pPr>
              <w:spacing w:after="0"/>
              <w:rPr>
                <w:sz w:val="10"/>
                <w:szCs w:val="10"/>
                <w:color w:val="auto"/>
              </w:rPr>
            </w:pPr>
          </w:p>
        </w:tc>
        <w:tc>
          <w:tcPr>
            <w:tcW w:w="128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(1,000,000)</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(12,120 )</w:t>
            </w:r>
          </w:p>
        </w:tc>
        <w:tc>
          <w:tcPr>
            <w:tcW w:w="2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540,720</w:t>
            </w:r>
          </w:p>
        </w:tc>
        <w:tc>
          <w:tcPr>
            <w:tcW w:w="30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(305)</w:t>
            </w: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(439,935)</w:t>
            </w:r>
          </w:p>
        </w:tc>
        <w:tc>
          <w:tcPr>
            <w:tcW w:w="1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88,374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5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9,377,259</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w:t>
            </w:r>
          </w:p>
        </w:tc>
        <w:tc>
          <w:tcPr>
            <w:tcW w:w="22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426,724</w:t>
            </w:r>
          </w:p>
        </w:tc>
        <w:tc>
          <w:tcPr>
            <w:tcW w:w="300" w:type="dxa"/>
            <w:vAlign w:val="bottom"/>
            <w:gridSpan w:val="2"/>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(266,586)</w:t>
            </w:r>
          </w:p>
        </w:tc>
        <w:tc>
          <w:tcPr>
            <w:tcW w:w="14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160,415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Exercises of stock options</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11,643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2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1,761</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1,761</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12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0"/>
                <w:szCs w:val="10"/>
                <w:color w:val="auto"/>
              </w:rPr>
            </w:pPr>
          </w:p>
        </w:tc>
        <w:tc>
          <w:tcPr>
            <w:tcW w:w="10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1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22"/>
        </w:trPr>
        <w:tc>
          <w:tcPr>
            <w:tcW w:w="25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(23,387)</w:t>
            </w:r>
          </w:p>
        </w:tc>
        <w:tc>
          <w:tcPr>
            <w:tcW w:w="14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(23,387)</w:t>
            </w:r>
          </w:p>
        </w:tc>
        <w:tc>
          <w:tcPr>
            <w:tcW w:w="0" w:type="dxa"/>
            <w:vAlign w:val="bottom"/>
          </w:tcPr>
          <w:p>
            <w:pPr>
              <w:spacing w:after="0"/>
              <w:rPr>
                <w:sz w:val="1"/>
                <w:szCs w:val="1"/>
                <w:color w:val="auto"/>
              </w:rPr>
            </w:pPr>
          </w:p>
        </w:tc>
      </w:tr>
      <w:tr>
        <w:trPr>
          <w:trHeight w:val="20"/>
        </w:trPr>
        <w:tc>
          <w:tcPr>
            <w:tcW w:w="25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0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March 31, 2025</w:t>
            </w:r>
          </w:p>
        </w:tc>
        <w:tc>
          <w:tcPr>
            <w:tcW w:w="10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9,388,902</w:t>
            </w:r>
          </w:p>
        </w:tc>
        <w:tc>
          <w:tcPr>
            <w:tcW w:w="22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9</w:t>
            </w:r>
          </w:p>
        </w:tc>
        <w:tc>
          <w:tcPr>
            <w:tcW w:w="220" w:type="dxa"/>
            <w:vAlign w:val="bottom"/>
          </w:tcPr>
          <w:p>
            <w:pPr>
              <w:spacing w:after="0"/>
              <w:rPr>
                <w:sz w:val="10"/>
                <w:szCs w:val="10"/>
                <w:color w:val="auto"/>
              </w:rPr>
            </w:pPr>
          </w:p>
        </w:tc>
        <w:tc>
          <w:tcPr>
            <w:tcW w:w="10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428,657</w:t>
            </w:r>
          </w:p>
        </w:tc>
        <w:tc>
          <w:tcPr>
            <w:tcW w:w="30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264</w:t>
            </w:r>
          </w:p>
        </w:tc>
        <w:tc>
          <w:tcPr>
            <w:tcW w:w="22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(289,973)</w:t>
            </w:r>
          </w:p>
        </w:tc>
        <w:tc>
          <w:tcPr>
            <w:tcW w:w="1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138,957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50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Exercises of stock options</w:t>
            </w:r>
          </w:p>
        </w:tc>
        <w:tc>
          <w:tcPr>
            <w:tcW w:w="104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1,940</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8"/>
                <w:szCs w:val="8"/>
                <w:color w:val="auto"/>
              </w:rPr>
            </w:pPr>
          </w:p>
        </w:tc>
        <w:tc>
          <w:tcPr>
            <w:tcW w:w="1280" w:type="dxa"/>
            <w:vAlign w:val="bottom"/>
            <w:gridSpan w:val="2"/>
            <w:shd w:val="clear" w:color="auto" w:fill="CFF0FC"/>
          </w:tcPr>
          <w:p>
            <w:pPr>
              <w:jc w:val="right"/>
              <w:ind w:right="2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8"/>
                <w:szCs w:val="8"/>
                <w:color w:val="auto"/>
              </w:rPr>
            </w:pPr>
          </w:p>
        </w:tc>
        <w:tc>
          <w:tcPr>
            <w:tcW w:w="620" w:type="dxa"/>
            <w:vAlign w:val="bottom"/>
            <w:gridSpan w:val="2"/>
            <w:shd w:val="clear" w:color="auto" w:fill="CFF0FC"/>
          </w:tcPr>
          <w:p>
            <w:pPr>
              <w:jc w:val="right"/>
              <w:ind w:right="1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5</w:t>
            </w: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100" w:type="dxa"/>
            <w:vAlign w:val="bottom"/>
            <w:gridSpan w:val="2"/>
            <w:shd w:val="clear" w:color="auto" w:fill="CFF0FC"/>
          </w:tcPr>
          <w:p>
            <w:pPr>
              <w:jc w:val="right"/>
              <w:ind w:right="2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1040" w:type="dxa"/>
            <w:vAlign w:val="bottom"/>
            <w:gridSpan w:val="2"/>
            <w:shd w:val="clear" w:color="auto" w:fill="CFF0FC"/>
          </w:tcPr>
          <w:p>
            <w:pPr>
              <w:jc w:val="right"/>
              <w:ind w:right="2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8"/>
                <w:szCs w:val="8"/>
                <w:color w:val="auto"/>
              </w:rPr>
            </w:pPr>
          </w:p>
        </w:tc>
        <w:tc>
          <w:tcPr>
            <w:tcW w:w="9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5</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5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2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1,998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1,998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12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(87)</w:t>
            </w:r>
          </w:p>
        </w:tc>
        <w:tc>
          <w:tcPr>
            <w:tcW w:w="1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(87)</w:t>
            </w:r>
          </w:p>
        </w:tc>
        <w:tc>
          <w:tcPr>
            <w:tcW w:w="0" w:type="dxa"/>
            <w:vAlign w:val="bottom"/>
          </w:tcPr>
          <w:p>
            <w:pPr>
              <w:spacing w:after="0"/>
              <w:rPr>
                <w:sz w:val="1"/>
                <w:szCs w:val="1"/>
                <w:color w:val="auto"/>
              </w:rPr>
            </w:pPr>
          </w:p>
        </w:tc>
      </w:tr>
      <w:tr>
        <w:trPr>
          <w:trHeight w:val="121"/>
        </w:trPr>
        <w:tc>
          <w:tcPr>
            <w:tcW w:w="25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(25,770)</w:t>
            </w:r>
          </w:p>
        </w:tc>
        <w:tc>
          <w:tcPr>
            <w:tcW w:w="140" w:type="dxa"/>
            <w:vAlign w:val="bottom"/>
          </w:tcPr>
          <w:p>
            <w:pPr>
              <w:spacing w:after="0"/>
              <w:rPr>
                <w:sz w:val="10"/>
                <w:szCs w:val="10"/>
                <w:color w:val="auto"/>
              </w:rPr>
            </w:pPr>
          </w:p>
        </w:tc>
        <w:tc>
          <w:tcPr>
            <w:tcW w:w="11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(25,770)</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5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June 30, 2025</w:t>
            </w:r>
          </w:p>
        </w:tc>
        <w:tc>
          <w:tcPr>
            <w:tcW w:w="10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9,390,842</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9</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430,660</w:t>
            </w:r>
          </w:p>
        </w:tc>
        <w:tc>
          <w:tcPr>
            <w:tcW w:w="300" w:type="dxa"/>
            <w:vAlign w:val="bottom"/>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177</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(315,743)</w:t>
            </w:r>
          </w:p>
        </w:tc>
        <w:tc>
          <w:tcPr>
            <w:tcW w:w="14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115,103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500" w:type="dxa"/>
            <w:vAlign w:val="bottom"/>
            <w:tcBorders>
              <w:top w:val="single" w:sz="8" w:color="CFF0FC"/>
            </w:tcBorders>
          </w:tcPr>
          <w:p>
            <w:pPr>
              <w:spacing w:after="0" w:line="102" w:lineRule="exact"/>
              <w:rPr>
                <w:sz w:val="20"/>
                <w:szCs w:val="20"/>
                <w:color w:val="auto"/>
              </w:rPr>
            </w:pPr>
            <w:r>
              <w:rPr>
                <w:rFonts w:ascii="Times New Roman" w:cs="Times New Roman" w:eastAsia="Times New Roman" w:hAnsi="Times New Roman"/>
                <w:sz w:val="11"/>
                <w:szCs w:val="11"/>
                <w:color w:val="auto"/>
              </w:rPr>
              <w:t>Exercises of stock options</w:t>
            </w:r>
          </w:p>
        </w:tc>
        <w:tc>
          <w:tcPr>
            <w:tcW w:w="10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7,142</w:t>
            </w:r>
          </w:p>
        </w:tc>
        <w:tc>
          <w:tcPr>
            <w:tcW w:w="2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10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128</w:t>
            </w:r>
          </w:p>
        </w:tc>
        <w:tc>
          <w:tcPr>
            <w:tcW w:w="2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128</w:t>
            </w:r>
          </w:p>
        </w:tc>
        <w:tc>
          <w:tcPr>
            <w:tcW w:w="12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5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2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1,825</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1,825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income</w:t>
            </w:r>
          </w:p>
        </w:tc>
        <w:tc>
          <w:tcPr>
            <w:tcW w:w="12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(18,061)</w:t>
            </w:r>
          </w:p>
        </w:tc>
        <w:tc>
          <w:tcPr>
            <w:tcW w:w="14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(18,061)</w:t>
            </w:r>
          </w:p>
        </w:tc>
        <w:tc>
          <w:tcPr>
            <w:tcW w:w="0" w:type="dxa"/>
            <w:vAlign w:val="bottom"/>
          </w:tcPr>
          <w:p>
            <w:pPr>
              <w:spacing w:after="0"/>
              <w:rPr>
                <w:sz w:val="1"/>
                <w:szCs w:val="1"/>
                <w:color w:val="auto"/>
              </w:rPr>
            </w:pPr>
          </w:p>
        </w:tc>
      </w:tr>
      <w:tr>
        <w:trPr>
          <w:trHeight w:val="20"/>
        </w:trPr>
        <w:tc>
          <w:tcPr>
            <w:tcW w:w="25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0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September 30, 2025</w:t>
            </w:r>
          </w:p>
        </w:tc>
        <w:tc>
          <w:tcPr>
            <w:tcW w:w="10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9,397,984</w:t>
            </w:r>
          </w:p>
        </w:tc>
        <w:tc>
          <w:tcPr>
            <w:tcW w:w="22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9</w:t>
            </w:r>
          </w:p>
        </w:tc>
        <w:tc>
          <w:tcPr>
            <w:tcW w:w="220" w:type="dxa"/>
            <w:vAlign w:val="bottom"/>
          </w:tcPr>
          <w:p>
            <w:pPr>
              <w:spacing w:after="0"/>
              <w:rPr>
                <w:sz w:val="10"/>
                <w:szCs w:val="10"/>
                <w:color w:val="auto"/>
              </w:rPr>
            </w:pPr>
          </w:p>
        </w:tc>
        <w:tc>
          <w:tcPr>
            <w:tcW w:w="10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432,613</w:t>
            </w:r>
          </w:p>
        </w:tc>
        <w:tc>
          <w:tcPr>
            <w:tcW w:w="30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214</w:t>
            </w:r>
          </w:p>
        </w:tc>
        <w:tc>
          <w:tcPr>
            <w:tcW w:w="22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(333,804)</w:t>
            </w:r>
          </w:p>
        </w:tc>
        <w:tc>
          <w:tcPr>
            <w:tcW w:w="1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99,032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-2596515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-2596515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-2596515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-2596515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-2596515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-2596515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-2596515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-2596515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-2099945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-2099945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-2099945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-2099945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-2099945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-2099945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-2099945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-2099945</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-1525270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-1525270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-1525270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-1525270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-1525270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-1525270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-1525270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-1525270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-950595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-950595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-950595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-950595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-950595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-950595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-950595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-950595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-445135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-427990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-445135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-427990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-445135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-427990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-445135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-427990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-445135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-427990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-445135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-427990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-445135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-427990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-445135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-427990</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-110490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-110490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-110490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-110490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-110490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-110490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-110490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-110490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(56,089)</w:t>
            </w: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(67,218)</w:t>
            </w: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amortization of premiums and discounts on marketable securities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(1,674)</w:t>
            </w: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(1,268)</w:t>
            </w: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(1,963)</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w:t>
            </w:r>
          </w:p>
        </w:tc>
      </w:tr>
      <w:tr>
        <w:trPr>
          <w:trHeight w:val="20"/>
        </w:trPr>
        <w:tc>
          <w:tcPr>
            <w:tcW w:w="7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(46,003)</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(60,859)</w:t>
            </w:r>
          </w:p>
        </w:tc>
      </w:tr>
      <w:tr>
        <w:trPr>
          <w:trHeight w:val="209"/>
        </w:trPr>
        <w:tc>
          <w:tcPr>
            <w:tcW w:w="7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(86,996)</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(26,189)</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55,700</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(434)</w:t>
            </w:r>
          </w:p>
        </w:tc>
      </w:tr>
      <w:tr>
        <w:trPr>
          <w:trHeight w:val="20"/>
        </w:trPr>
        <w:tc>
          <w:tcPr>
            <w:tcW w:w="75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(21,881)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29,077</w:t>
            </w:r>
          </w:p>
        </w:tc>
        <w:tc>
          <w:tcPr>
            <w:tcW w:w="100" w:type="dxa"/>
            <w:vAlign w:val="bottom"/>
          </w:tcPr>
          <w:p>
            <w:pPr>
              <w:spacing w:after="0"/>
              <w:rPr>
                <w:sz w:val="18"/>
                <w:szCs w:val="18"/>
                <w:color w:val="auto"/>
              </w:rPr>
            </w:pPr>
          </w:p>
        </w:tc>
      </w:tr>
      <w:tr>
        <w:trPr>
          <w:trHeight w:val="210"/>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stock in connection with the at-the-market program, net of</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stock and pre-funded warrants in connection with the private</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placement, net of offering costs</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80,258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2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8"/>
                <w:szCs w:val="18"/>
                <w:color w:val="auto"/>
              </w:rPr>
            </w:pPr>
          </w:p>
        </w:tc>
      </w:tr>
      <w:tr>
        <w:trPr>
          <w:trHeight w:val="210"/>
        </w:trPr>
        <w:tc>
          <w:tcPr>
            <w:tcW w:w="75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85,295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(31,488)</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59,049</w:t>
            </w:r>
          </w:p>
        </w:tc>
        <w:tc>
          <w:tcPr>
            <w:tcW w:w="100" w:type="dxa"/>
            <w:vAlign w:val="bottom"/>
          </w:tcPr>
          <w:p>
            <w:pPr>
              <w:spacing w:after="0"/>
              <w:rPr>
                <w:sz w:val="18"/>
                <w:szCs w:val="18"/>
                <w:color w:val="auto"/>
              </w:rPr>
            </w:pPr>
          </w:p>
        </w:tc>
      </w:tr>
      <w:tr>
        <w:trPr>
          <w:trHeight w:val="249"/>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20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42,624</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27,561</w:t>
            </w:r>
          </w:p>
        </w:tc>
        <w:tc>
          <w:tcPr>
            <w:tcW w:w="100" w:type="dxa"/>
            <w:vAlign w:val="bottom"/>
            <w:shd w:val="clear" w:color="auto" w:fill="CFF0FC"/>
          </w:tcPr>
          <w:p>
            <w:pPr>
              <w:spacing w:after="0"/>
              <w:rPr>
                <w:sz w:val="21"/>
                <w:szCs w:val="21"/>
                <w:color w:val="auto"/>
              </w:rPr>
            </w:pPr>
          </w:p>
        </w:tc>
      </w:tr>
      <w:tr>
        <w:trPr>
          <w:trHeight w:val="197"/>
        </w:trPr>
        <w:tc>
          <w:tcPr>
            <w:tcW w:w="75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4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120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0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r>
      <w:tr>
        <w:trPr>
          <w:trHeight w:val="23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2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60" w:type="dxa"/>
            <w:vAlign w:val="bottom"/>
          </w:tcPr>
          <w:p>
            <w:pPr>
              <w:spacing w:after="0"/>
              <w:rPr>
                <w:sz w:val="20"/>
                <w:szCs w:val="20"/>
                <w:color w:val="auto"/>
              </w:rPr>
            </w:pP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-2968625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-2968625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-2411095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-2411095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-1288415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-1288415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-722630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-705485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-722630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-705485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Korro Bio, Inc. (together with its subsidiaries, the “Company”) is a biopharmaceutical company leveraging a novel oligonucleotide promoted editing of RNA, or OPERA, platform to develop a new class of genetic medicines for rare and highly prevalent diseases. The Company was incorporated in November 2014 as a Delaware corporation and in November 2023 completed a reverse merger with its now wholly-owned subsidiary and changed its name from Frequency Therapeutics, Inc. (“Frequency”) to Korro Bio, Inc. The Company's principal offices are in Cambridge, Massachusetts.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Lead candidates and development candidates currently under development will require significant additional research and development efforts, including extensive preclinical and clinical testing and regulatory approval, prior to commercialization. These efforts will require significant amounts of additional capital, adequate personnel infrastructure and extensive compliance-reporting capabilities. Even if the Company’s product development efforts are successful, it is uncertain when, if ever, the Company will realize revenue from product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the basis of the Company continuing as a going concern. The Company expects that its existing cash, cash equivalents and marketable securities as of September 30, 2026 of $124.8 million will enable the Company to fund its planned operating expenses and capital expenditure requirements for at least 12 months from the date of issuance of these consolidated financial statements. The Company has incurred recurring losses and negative cash flows from operations since inception. As of September 30, 2026, the Company had an accumulated deficit of $439.9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development candidates, if approved, will require significant additional financing. However, if the Company is unable to obtain additional financing, the Company would be forced to delay, reduce or eliminate its research and development programs and/or relinquish valuable rights to its technology, lead candidates and development candidates. There is no assurance that the Company will be successful in obtaining sufficient financing on acceptable terms to continue funding its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(“GAAP”). These consolidated financial statements have been prepared on the going concern basis of accounting, which assumes continuity of operations, realization of assets and satisfaction of liabilities in the ordinary course of business.</w:t>
      </w:r>
    </w:p>
    <w:p>
      <w:pPr>
        <w:spacing w:after="0" w:line="6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Korro Bio, Inc. and its wholly-owned subsidiaries. All intercompany transactions and balances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September 30, 2026 and for the three and nine months ended September 30, 2026 and 2025 are unaudited. The financial data and other information contained in the notes hereto as of September 30, 2026 and for the three and nine months ended September 30, 2026 and 2025 are also unaudited. The condensed consolidated balance sheet data as of December 31, 2025 was derived from the Company's audited consolidated financial statements included in the Company's Annual Report on Form 10-K for the year ended December 31, 2025 (the "2025 Form 10-K").</w:t>
      </w:r>
    </w:p>
    <w:p>
      <w:pPr>
        <w:spacing w:after="0" w:line="75"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annual consolidated financial statements, and in the opinion of management, reflect all adjustments, which include any normal recurring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ind w:right="340"/>
        <w:spacing w:after="0" w:line="266" w:lineRule="auto"/>
        <w:rPr>
          <w:sz w:val="20"/>
          <w:szCs w:val="20"/>
          <w:color w:val="auto"/>
        </w:rPr>
      </w:pPr>
      <w:r>
        <w:rPr>
          <w:rFonts w:ascii="Times New Roman" w:cs="Times New Roman" w:eastAsia="Times New Roman" w:hAnsi="Times New Roman"/>
          <w:sz w:val="18"/>
          <w:szCs w:val="18"/>
          <w:color w:val="auto"/>
        </w:rPr>
        <w:t>adjustments necessary for the fair presentation of the Company's interim period results. These unaudited condensed consolidated financial statements should be read in conjunction with the audited consolidated financial statements as of and for the year ended December 31, 2025, and the notes thereto, included in the 2025 Form 10-K.</w:t>
      </w:r>
    </w:p>
    <w:p>
      <w:pPr>
        <w:spacing w:after="0" w:line="68"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results for the three and nine months ended September 30, 2026 are not necessarily indicative of results to be expected for the year ended December 31, 2026, or any other interim periods, or any future year or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 condensed consolidated financial statements are described in the Company's audited consolidated financial statements as of the year end December 31, 2025, and the notes thereto, which are included in the 2025 Form 10-K. Other than the warrants and treasury stock policies described below, there have been no material changes to the significant accounting policies previously disclosed in the 2025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Estimates and assumptions reflected in these consolidated financial statements include, but are not limited to accrued research and development expenses and stock-based compensation expense.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common stock warrants as either equity-classified or liability-classified instruments based on an assessment of the warrant’s specific terms and applicable authoritative guidance in Accounting Standards Codification (“ASC”) No. 480, Distinguishing Liabilities from Equity (“ASC 480”), and ASC No. 815, 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judgment, is conducted at the time of warrant issuance and as of each subsequent quarterly period end date while the warrants are outstanding.</w:t>
      </w:r>
    </w:p>
    <w:p>
      <w:pPr>
        <w:spacing w:after="0" w:line="8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remeasured each balance sheet date thereafter. Changes in the estimated fair value of the liability-classified warrants are recognized as a non-cash gain or loss in the accompanying consolidated statements of operations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records treasury stock activities under the cost method. Treasury stock is included in authorized and issued shares but excluded from outstanding shares. The re-issuance of treasury stock is accounted for on a first-in, first-out basis and any differences between the cost of treasury stock and the re-issuance proceeds are charged or credited to additional paid-in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Pronouncements—Yet to be Adopted</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 or “ASUs”). Accounting standards that have been issued or proposed by the Financial Accounting Standards Board (“FASB”) or other standards-setting bodies that do not require adoption until a future date are not expected to have a material impact on the Company’s consolidated financial statements upon adoption.</w:t>
      </w:r>
    </w:p>
    <w:p>
      <w:pPr>
        <w:spacing w:after="0" w:line="17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w:t>
      </w:r>
      <w:r>
        <w:rPr>
          <w:rFonts w:ascii="Times New Roman" w:cs="Times New Roman" w:eastAsia="Times New Roman" w:hAnsi="Times New Roman"/>
          <w:sz w:val="18"/>
          <w:szCs w:val="18"/>
          <w:i w:val="1"/>
          <w:iCs w:val="1"/>
          <w:color w:val="auto"/>
        </w:rPr>
        <w:t>ASU 2024-03, Income Statement-Reporting Comprehensive Income- Expense Disaggregation Disclosures</w:t>
      </w:r>
      <w:r>
        <w:rPr>
          <w:rFonts w:ascii="Times New Roman" w:cs="Times New Roman" w:eastAsia="Times New Roman" w:hAnsi="Times New Roman"/>
          <w:sz w:val="18"/>
          <w:szCs w:val="18"/>
          <w:color w:val="auto"/>
        </w:rPr>
        <w:t>, which requires disclosure of additional information about specific expense categories in the notes to the financial statements on an interim and annual basis. The standard is effective for fiscal years beginning after December 15, 2026, and for interim periods beginning after December 15, 2027, with early adoption permitted. The Company is currently evaluating the disclosure requirements related to this new standard.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money market funds based on quoted prices in active markets for identical securities. Cash equivalents and marketable securities include U.S. treasury bills and U.S. government agency securities that are valued either based on recent trades of securities in inactive markets or based on quoted market prices of similar instruments and other significant inputs derived from or corroborated by observable market data.</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sheets for cash, prepaid expenses and other current assets, accounts payable and accrued expenses approximate their fair values, due to their short-term nature.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as of September 30, 2026 were as follows (in thousands):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79,623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79,623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MS APA asset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financial assets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125,526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99,506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CVR liability</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-608330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-590550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-608330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-590550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-608330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-590550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-608330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-590550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as of December 31, 2025 were as follows (in thousands):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392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MS APA asset</w:t>
            </w:r>
          </w:p>
        </w:tc>
        <w:tc>
          <w:tcPr>
            <w:tcW w:w="1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financial assets</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CVR liability</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-753745</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-753745</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-753745</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-753745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fair value of the contingent value right ("CVR") liability and the asset purchase agreement relating to Frequency’s multiple sclerosis program (the "MS APA") are based on significant unobservable inputs, which represent Level 3 measurements within the fair value hierarchy. In determining the fair value of the CVR liability and the MS APA asset, the Company used the income approach, primarily discounted cash flow models. The discounted cash flow models require the use of judgment, estimates and assumptions, including the probability of technical and regulatory success, and discount rates. For the nine months ended September 30, 2026, the aggregate change in fair value of the CVR liability and MS APA asset was less than $0.1 million. For the year ended December 31, 2025, the aggregate change in fair value of the CVR liability and MS APA asset was $0.1 million.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3" w:name="page14"/>
    <w:bookmarkEnd w:id="13"/>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valuation techniques, nor were there any transfers among the fair value hierarchy levels during the nine months ended September 30, 2026 or during the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Marketable securities were comprised as follows as of September 30, 2026 (in thousands):</w:t>
      </w:r>
    </w:p>
    <w:p>
      <w:pPr>
        <w:spacing w:after="0" w:line="31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33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U.S. treasury bills</w:t>
            </w:r>
          </w:p>
        </w:tc>
        <w:tc>
          <w:tcPr>
            <w:tcW w:w="7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33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16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Within 1 year</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U.S. government agency securities</w:t>
            </w:r>
          </w:p>
        </w:tc>
        <w:tc>
          <w:tcPr>
            <w:tcW w:w="2160" w:type="dxa"/>
            <w:vAlign w:val="bottom"/>
            <w:gridSpan w:val="2"/>
          </w:tcPr>
          <w:p>
            <w:pPr>
              <w:ind w:left="740"/>
              <w:spacing w:after="0" w:line="198" w:lineRule="exact"/>
              <w:rPr>
                <w:sz w:val="20"/>
                <w:szCs w:val="20"/>
                <w:color w:val="auto"/>
              </w:rPr>
            </w:pPr>
            <w:r>
              <w:rPr>
                <w:rFonts w:ascii="Times New Roman" w:cs="Times New Roman" w:eastAsia="Times New Roman" w:hAnsi="Times New Roman"/>
                <w:sz w:val="18"/>
                <w:szCs w:val="18"/>
                <w:color w:val="auto"/>
              </w:rPr>
              <w:t>Between 1 to 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360" w:type="dxa"/>
            <w:vAlign w:val="bottom"/>
          </w:tcPr>
          <w:p>
            <w:pPr>
              <w:spacing w:after="0"/>
              <w:rPr>
                <w:sz w:val="19"/>
                <w:szCs w:val="19"/>
                <w:color w:val="auto"/>
              </w:rPr>
            </w:pPr>
          </w:p>
        </w:tc>
        <w:tc>
          <w:tcPr>
            <w:tcW w:w="2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years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(395)</w:t>
            </w: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Marketable securities were comprised as follows as of December 31, 2025 (in thousands):</w:t>
      </w:r>
    </w:p>
    <w:p>
      <w:pPr>
        <w:spacing w:after="0" w:line="31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10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Within 1 year</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53,220</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12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U.S. government agency securities</w:t>
            </w:r>
          </w:p>
        </w:tc>
        <w:tc>
          <w:tcPr>
            <w:tcW w:w="2100" w:type="dxa"/>
            <w:vAlign w:val="bottom"/>
            <w:gridSpan w:val="2"/>
          </w:tcPr>
          <w:p>
            <w:pPr>
              <w:ind w:left="720"/>
              <w:spacing w:after="0" w:line="198" w:lineRule="exact"/>
              <w:rPr>
                <w:sz w:val="20"/>
                <w:szCs w:val="20"/>
                <w:color w:val="auto"/>
              </w:rPr>
            </w:pPr>
            <w:r>
              <w:rPr>
                <w:rFonts w:ascii="Times New Roman" w:cs="Times New Roman" w:eastAsia="Times New Roman" w:hAnsi="Times New Roman"/>
                <w:sz w:val="18"/>
                <w:szCs w:val="18"/>
                <w:color w:val="auto"/>
              </w:rPr>
              <w:t>Between 1 to 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360" w:type="dxa"/>
            <w:vAlign w:val="bottom"/>
          </w:tcPr>
          <w:p>
            <w:pPr>
              <w:spacing w:after="0"/>
              <w:rPr>
                <w:sz w:val="19"/>
                <w:szCs w:val="19"/>
                <w:color w:val="auto"/>
              </w:rPr>
            </w:pPr>
          </w:p>
        </w:tc>
        <w:tc>
          <w:tcPr>
            <w:tcW w:w="2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years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63,205</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12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-25400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596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596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-25400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73" w:lineRule="auto"/>
        <w:rPr>
          <w:sz w:val="20"/>
          <w:szCs w:val="20"/>
          <w:color w:val="auto"/>
        </w:rPr>
      </w:pPr>
      <w:r>
        <w:rPr>
          <w:rFonts w:ascii="Times New Roman" w:cs="Times New Roman" w:eastAsia="Times New Roman" w:hAnsi="Times New Roman"/>
          <w:sz w:val="17"/>
          <w:szCs w:val="17"/>
          <w:color w:val="auto"/>
        </w:rPr>
        <w:t>The amortized cost of available-for-sale securities is adjusted for amortization of premiums and accretion of discounts to maturity. There were no realized gains or losses on available-for-sale securities for the periods presented. None of the investments were in an unrealized loss position for greater than 12 months as of September 30, 2026. The unrealized losses on the Company's available-for-sale securities were caused by the impact of central bank and market interest rates on the investments held. The Company does not intend to sell the investments, and it is not more likely than not that the Company will be required to sell the investments before recovery of their amortized cost bases. After analyzing the securities in an unrealized loss position, the portion of these losses that relates to changes in credit quality is insignificant. The Company did not record an allowance for credit losses as of September 30, 2026. Furthermore, the Company does not believe that these securities expose the Company to undue market risk or counterparty credit risk.</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Restricted Cash</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2026, the Company maintained current restricted cash of $0.0 million and non-current restricted cash of $2.4 million. As of December 31, 2025, the Company maintained current restricted cash of $1.0 million and non-current restricted cash of $2.4 million. The current restricted cash of $1.0 million as of December 31, 2025 is included under the caption “prepaid expenses and other current assets” in the Company's condensed consolidated balance sheet. All restricted cash amounts are comprised solely of letters of credit required pursuant to the Company's facility leases.</w:t>
      </w:r>
    </w:p>
    <w:p>
      <w:pPr>
        <w:spacing w:after="0" w:line="180"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of September 30, 2026 and December 31, 2025 that sums to the total of the same amounts shown in the consolidated statements of cash flows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7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40,215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21,824</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42,624</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25,230</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628"/>
        </w:trPr>
        <w:tc>
          <w:tcPr>
            <w:tcW w:w="1700" w:type="dxa"/>
            <w:vAlign w:val="bottom"/>
          </w:tcPr>
          <w:p>
            <w:pPr>
              <w:spacing w:after="0"/>
              <w:rPr>
                <w:sz w:val="24"/>
                <w:szCs w:val="24"/>
                <w:color w:val="auto"/>
              </w:rPr>
            </w:pPr>
          </w:p>
        </w:tc>
        <w:tc>
          <w:tcPr>
            <w:tcW w:w="3500" w:type="dxa"/>
            <w:vAlign w:val="bottom"/>
            <w:tcBorders>
              <w:top w:val="single" w:sz="8" w:color="CFF0FC"/>
            </w:tcBorders>
          </w:tcPr>
          <w:p>
            <w:pPr>
              <w:spacing w:after="0"/>
              <w:rPr>
                <w:sz w:val="24"/>
                <w:szCs w:val="24"/>
                <w:color w:val="auto"/>
              </w:rPr>
            </w:pPr>
          </w:p>
        </w:tc>
        <w:tc>
          <w:tcPr>
            <w:tcW w:w="1880" w:type="dxa"/>
            <w:vAlign w:val="bottom"/>
            <w:tcBorders>
              <w:top w:val="single" w:sz="8" w:color="CFF0FC"/>
            </w:tcBorders>
          </w:tcPr>
          <w:p>
            <w:pPr>
              <w:jc w:val="right"/>
              <w:ind w:right="13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-933450</wp:posOffset>
            </wp:positionV>
            <wp:extent cx="431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-916305</wp:posOffset>
            </wp:positionV>
            <wp:extent cx="43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-933450</wp:posOffset>
            </wp:positionV>
            <wp:extent cx="431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as of September 30, 2026 and December 31, 2025 was comprised as follows (in thousands):</w:t>
      </w:r>
    </w:p>
    <w:p>
      <w:pPr>
        <w:spacing w:after="0" w:line="233"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3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 (in Years)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3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8,415</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Shorter of useful life or remaining lease term</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(10,569)</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9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-24765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-24765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historical cost, net of accumulated depreciation. Depreciation expense for the three months ended September 30, 2026 and 2025 was $0.4 million and $1.2 million, respectively. Depreciation expense for the nine months ended September 30, 2026 and 2025 was $1.1 million and $3.6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as of September 30, 2026 and December 31, 2025 were comprised as follows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External research and development services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8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Severance</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8"/>
                <w:szCs w:val="18"/>
                <w:color w:val="auto"/>
              </w:rPr>
            </w:pPr>
          </w:p>
        </w:tc>
      </w:tr>
      <w:tr>
        <w:trPr>
          <w:trHeight w:val="216"/>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8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431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229"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was authorized to issue 200,000,000 shares of common stock, $0.001 par value per share. Holders of common stock are entitled to one vote per share. In addition, holders of common stock are entitled to receive dividends, if and when declared by the Company’s Board of Directors. As of September 30, 2026, no dividends had been declared.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2026 and December 31, 2025, the Company had reserved for future issuance the following number of shares of common stock:</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6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3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2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9"/>
        </w:trPr>
        <w:tc>
          <w:tcPr>
            <w:tcW w:w="1300" w:type="dxa"/>
            <w:vAlign w:val="bottom"/>
          </w:tcPr>
          <w:p>
            <w:pPr>
              <w:spacing w:after="0"/>
              <w:rPr>
                <w:sz w:val="18"/>
                <w:szCs w:val="18"/>
                <w:color w:val="auto"/>
              </w:rPr>
            </w:pPr>
          </w:p>
        </w:tc>
        <w:tc>
          <w:tcPr>
            <w:tcW w:w="3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Exercises of outstanding stock options</w:t>
            </w:r>
          </w:p>
        </w:tc>
        <w:tc>
          <w:tcPr>
            <w:tcW w:w="3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1,894,911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1,647,077</w:t>
            </w:r>
          </w:p>
        </w:tc>
        <w:tc>
          <w:tcPr>
            <w:tcW w:w="80" w:type="dxa"/>
            <w:vAlign w:val="bottom"/>
            <w:shd w:val="clear" w:color="auto" w:fill="CFF0FC"/>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outstanding warrant</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3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4,148,836</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of restricted stock unit awards</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442,745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506,981</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performance stock unit awards</w:t>
            </w:r>
          </w:p>
        </w:tc>
        <w:tc>
          <w:tcPr>
            <w:tcW w:w="3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Future issuances under 2023</w:t>
            </w: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102,290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142,985</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Future issuances under 2023</w:t>
            </w: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 Plan</w:t>
            </w:r>
          </w:p>
        </w:tc>
        <w:tc>
          <w:tcPr>
            <w:tcW w:w="3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345,671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262,440</w:t>
            </w:r>
          </w:p>
        </w:tc>
        <w:tc>
          <w:tcPr>
            <w:tcW w:w="80" w:type="dxa"/>
            <w:vAlign w:val="bottom"/>
            <w:shd w:val="clear" w:color="auto" w:fill="CFF0FC"/>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Future issuances under 2026</w:t>
            </w: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Inducement Plan</w:t>
            </w:r>
          </w:p>
        </w:tc>
        <w:tc>
          <w:tcPr>
            <w:tcW w:w="196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53,400</w:t>
            </w:r>
          </w:p>
        </w:tc>
        <w:tc>
          <w:tcPr>
            <w:tcW w:w="18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9"/>
        </w:trPr>
        <w:tc>
          <w:tcPr>
            <w:tcW w:w="1300" w:type="dxa"/>
            <w:vAlign w:val="bottom"/>
          </w:tcPr>
          <w:p>
            <w:pPr>
              <w:spacing w:after="0"/>
              <w:rPr>
                <w:sz w:val="21"/>
                <w:szCs w:val="21"/>
                <w:color w:val="auto"/>
              </w:rPr>
            </w:pPr>
          </w:p>
        </w:tc>
        <w:tc>
          <w:tcPr>
            <w:tcW w:w="39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reserved for future issuance</w:t>
            </w:r>
          </w:p>
        </w:tc>
        <w:tc>
          <w:tcPr>
            <w:tcW w:w="3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7,065,902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2,567,532</w:t>
            </w:r>
          </w:p>
        </w:tc>
        <w:tc>
          <w:tcPr>
            <w:tcW w:w="80" w:type="dxa"/>
            <w:vAlign w:val="bottom"/>
            <w:shd w:val="clear" w:color="auto" w:fill="CFF0FC"/>
          </w:tcPr>
          <w:p>
            <w:pPr>
              <w:spacing w:after="0"/>
              <w:rPr>
                <w:sz w:val="21"/>
                <w:szCs w:val="21"/>
                <w:color w:val="auto"/>
              </w:rPr>
            </w:pPr>
          </w:p>
        </w:tc>
        <w:tc>
          <w:tcPr>
            <w:tcW w:w="1300" w:type="dxa"/>
            <w:vAlign w:val="bottom"/>
          </w:tcPr>
          <w:p>
            <w:pPr>
              <w:spacing w:after="0"/>
              <w:rPr>
                <w:sz w:val="21"/>
                <w:szCs w:val="21"/>
                <w:color w:val="auto"/>
              </w:rPr>
            </w:pPr>
          </w:p>
        </w:tc>
      </w:tr>
      <w:tr>
        <w:trPr>
          <w:trHeight w:val="628"/>
        </w:trPr>
        <w:tc>
          <w:tcPr>
            <w:tcW w:w="1300" w:type="dxa"/>
            <w:vAlign w:val="bottom"/>
          </w:tcPr>
          <w:p>
            <w:pPr>
              <w:spacing w:after="0"/>
              <w:rPr>
                <w:sz w:val="24"/>
                <w:szCs w:val="24"/>
                <w:color w:val="auto"/>
              </w:rPr>
            </w:pPr>
          </w:p>
        </w:tc>
        <w:tc>
          <w:tcPr>
            <w:tcW w:w="2080" w:type="dxa"/>
            <w:vAlign w:val="bottom"/>
            <w:tcBorders>
              <w:top w:val="single" w:sz="8" w:color="CFF0FC"/>
            </w:tcBorders>
          </w:tcPr>
          <w:p>
            <w:pPr>
              <w:spacing w:after="0"/>
              <w:rPr>
                <w:sz w:val="24"/>
                <w:szCs w:val="24"/>
                <w:color w:val="auto"/>
              </w:rPr>
            </w:pPr>
          </w:p>
        </w:tc>
        <w:tc>
          <w:tcPr>
            <w:tcW w:w="1860" w:type="dxa"/>
            <w:vAlign w:val="bottom"/>
            <w:tcBorders>
              <w:top w:val="single" w:sz="8" w:color="CFF0FC"/>
            </w:tcBorders>
          </w:tcPr>
          <w:p>
            <w:pPr>
              <w:spacing w:after="0"/>
              <w:rPr>
                <w:sz w:val="24"/>
                <w:szCs w:val="24"/>
                <w:color w:val="auto"/>
              </w:rPr>
            </w:pPr>
          </w:p>
        </w:tc>
        <w:tc>
          <w:tcPr>
            <w:tcW w:w="1960" w:type="dxa"/>
            <w:vAlign w:val="bottom"/>
            <w:tcBorders>
              <w:top w:val="single" w:sz="8" w:color="CFF0FC"/>
            </w:tcBorders>
          </w:tcPr>
          <w:p>
            <w:pPr>
              <w:jc w:val="right"/>
              <w:ind w:right="1450"/>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300" w:type="dxa"/>
            <w:vAlign w:val="bottom"/>
          </w:tcPr>
          <w:p>
            <w:pPr>
              <w:spacing w:after="0"/>
              <w:rPr>
                <w:sz w:val="24"/>
                <w:szCs w:val="24"/>
                <w:color w:val="auto"/>
              </w:rPr>
            </w:pPr>
          </w:p>
        </w:tc>
      </w:tr>
      <w:tr>
        <w:trPr>
          <w:trHeight w:val="763"/>
        </w:trPr>
        <w:tc>
          <w:tcPr>
            <w:tcW w:w="13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-933450</wp:posOffset>
            </wp:positionV>
            <wp:extent cx="51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-916305</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-933450</wp:posOffset>
            </wp:positionV>
            <wp:extent cx="51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-916305</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2026 Private Placement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March 9, 2026, the Company entered into a subscription agreement with certain new and existing accredited investors to sell and issue in a private placement ("PIPE"): (i) an aggregate of 4,501,928 shares of its common stock at a purchase price of $11.11 per share and (ii) pre-funded warrants to acquire an aggregate 3,148,836 shares of its common stock at a purchase price of $11.109 per pre-funded warrant. The closing of the PIPE occurred on March 10, 2026 raising aggregate gross cash proceeds of approximately $85.0 million, before deducting placement agent fees and offering expenses of approximately $4.7 million. The pre-funded warrants have an exercise price of $0.001 per share. No pre-funded warrants issued in connection with the PIPE have been exercised as of September 30, 2026.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2026 Warrant Exchange</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August 5, 2026, the Company entered into an exchange agreement ("Exchange") with entities affiliated with Venrock Healthcare Capital Partners ("Venrock"), pursuant to which (i) Venrock agreed to surrender an aggregate of 1,000,000 shares of the Company's common stock for no consideration, to the Company, and (ii) the Company agreed to issue pre-funded warrants to purchase an aggregate of 1,000,000 shares of its common stock, with an exercise price of $0.001 per share and no expiration date. The pre-funded warrants are exercisable immediately and have terms substantially identical to the pre-funded warrants issued in the PIPE. No pre-funded warrants issued in connection with the Exchange have been exercised as of September 30, 2026. The surrendered shares were not retired and were recorded as treasury stock of $12.1 million, based on the fair value of the Company's common stock on the date of the exchange, with a corresponding increase to additional paid-in capital for the pre-funded warrants issued.</w:t>
      </w:r>
    </w:p>
    <w:p>
      <w:pPr>
        <w:spacing w:after="0" w:line="8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Company has assessed the pre-funded warrants issued in connection with the PIPE and Exchange for appropriate equity or liability classification pursuant to the Company’s accounting policy described in Note 2, Basis of Presentation and Summary of Significant Accounting Policies. During this assessment, the Company determined the pre-funded warrants are a freestanding instrument that does not meet the definition of a liability pursuant to ASC 480 and does not meet the definition of a derivative pursuant to ASC 815. The pre-funded warrants are indexed to the Company’s common stock and meet all other conditions for equity classification under ASC 815. Based on the results of this assessment, the Company concluded that the pre-funded warrants are a freestanding equity-linked financial instrument that meets the criteria for equity classification under ASC 815. Accordingly, the pre-funded warrants are classified as equity and accounted for as a component of additional paid-in capital at the time of issuance. The Company also determined that the pre-funded warrants should be included in the determination of basic and diluted earnings per share in accordance with ASC 260, Earnings per Share.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Program</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December 2024, the Company filed a Shelf Registration Statement on Form S-3 (the "Shelf Registration Statement") with the Securities and Exchange Commission ("SEC"), which covered the offering, issuance and sale by the Company of up to an aggregate of $400.0 million of the Company's common stock, preferred stock, debt securities, units and/or warrants. The Shelf Registration Statement included a prospectus covering the offering, issuance and sale of up to $100.0 million of the Company's common stock from time to time through an "at-the-market" (“ATM”) offering under the Securities Act of 1933, as amended.</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Also in December 2024, the Company entered into an Open Market Sale Agreement (the “Sales Agreement”) with TD Cowen Securities (USA) LLC ("TD Cowen"), acting as the Company's Agent and/or principal (the "Sales Agent") with respect to an ATM offering program under which the Company may from time to time, at its sole discretion, issue and sell shares of its common stock having an aggregate offering price of up to $100.0 million through the Sales Agent. TD Cowen is entitled to compensation for its services equal to up to 3.0% of the aggregate gross proceeds of any shares of common stock sold through TD Cowen under the Sales Agreement. Pursuant to the Sales Agreement, any shares will be sold pursuant to the Shelf Registration Statement filed with the SEC on December 2, 2024, including the ATM prospectus contained therein, as declared effective by the SEC on December 9, 2024. In January 2026, the Company issued 501,861 shares of common stock under the Sales Agreement for gross proceeds of $5.1 million, before deducting offering expenses of approximately $0.1 million.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Preferred Stock</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was authorized to issue up to 10,000,000 shares of preferred stock at a par value of $0.001 with no preferred stock shares issued or outstanding.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In April 2026, the Company's Board of Directors adopted the Korro Bio, Inc. 2026 Inducement Plan (the "Inducement Plan"). The Inducement Plan provides for the grant of non-qualified stock options, stock appreciation rights, restricted stock units, restricted stock awards, unrestricted stock awards, and dividend equivalent rights. Awards under the Inducement Plan may only be granted to new employees who were not previously an employee or director of the Company or are commencing employment with the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6" w:name="page17"/>
    <w:bookmarkEnd w:id="16"/>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following a bona fide period of non-employment, in either case, as an inducement material to the individual's entering into employment with the Company and in accordance with the requirements of Nasdaq Listing Rule 5635(c)(4). A total of 100,000 shares of common stock were reserved for issuance under the Inducement Plan.</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also grants stock-based awards under its 2023 Stock Option and Incentive Plan (the "2023 Plan"), which was approved by the Company’s stockholders in November 2023. The Company also has outstanding stock option awards under the Korro Bio Ops, Inc. 2019 Plan (the "Legacy Korro 2019 Plan"), the Frequency 2014 Stock Incentive Plan (the "2014 Plan"), and the Frequency 2019 Incentive Award Plan (the "Frequency 2019 Plan"), but is no longer granting awards under these plans. The Company also issues shares under the 2023 Employee Stock Purchase Plan (the "2023 ESPP"), which was approved by the Company’s stockholders in November 2023. The first offering period under the 2023 ESPP commenced on July 1,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recognized in the consolidated statements of operations and comprehensive loss for the three and nine months ended September 30, 2026 and 2025 was as follows (in thousands):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3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0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4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8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80" w:type="dxa"/>
            <w:vAlign w:val="bottom"/>
          </w:tcPr>
          <w:p>
            <w:pPr>
              <w:spacing w:after="0"/>
              <w:rPr>
                <w:sz w:val="18"/>
                <w:szCs w:val="18"/>
                <w:color w:val="auto"/>
              </w:rPr>
            </w:pPr>
          </w:p>
        </w:tc>
      </w:tr>
      <w:tr>
        <w:trPr>
          <w:trHeight w:val="229"/>
        </w:trPr>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2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4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80" w:type="dxa"/>
            <w:vAlign w:val="bottom"/>
            <w:shd w:val="clear" w:color="auto" w:fill="CFF0FC"/>
          </w:tcPr>
          <w:p>
            <w:pPr>
              <w:spacing w:after="0"/>
              <w:rPr>
                <w:sz w:val="19"/>
                <w:szCs w:val="19"/>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-25400</wp:posOffset>
            </wp:positionV>
            <wp:extent cx="514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-25400</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-25400</wp:posOffset>
            </wp:positionV>
            <wp:extent cx="51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nine months ended September 30, 2026 and 2025 was calculated on the date of grant using the following weighted-average assumptions:</w:t>
      </w:r>
    </w:p>
    <w:p>
      <w:pPr>
        <w:spacing w:after="0" w:line="182"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12" w:lineRule="exact"/>
        <w:rPr>
          <w:sz w:val="20"/>
          <w:szCs w:val="20"/>
          <w:color w:val="auto"/>
        </w:rPr>
      </w:pPr>
    </w:p>
    <w:tbl>
      <w:tblPr>
        <w:tblLayout w:type="fixed"/>
        <w:tblInd w:w="1640" w:type="dxa"/>
        <w:tblCellMar>
          <w:top w:w="0" w:type="dxa"/>
          <w:left w:w="0" w:type="dxa"/>
          <w:bottom w:w="0" w:type="dxa"/>
          <w:right w:w="0" w:type="dxa"/>
        </w:tblCellMar>
      </w:tblPr>
      <w:tr>
        <w:trPr>
          <w:trHeight w:val="142"/>
        </w:trPr>
        <w:tc>
          <w:tcPr>
            <w:tcW w:w="50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r>
      <w:tr>
        <w:trPr>
          <w:trHeight w:val="210"/>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FF0FC"/>
          </w:tcPr>
          <w:p>
            <w:pPr>
              <w:spacing w:after="0"/>
              <w:rPr>
                <w:sz w:val="18"/>
                <w:szCs w:val="18"/>
                <w:color w:val="auto"/>
              </w:rPr>
            </w:pPr>
          </w:p>
        </w:tc>
      </w:tr>
      <w:tr>
        <w:trPr>
          <w:trHeight w:val="234"/>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78.3%</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73.9%</w:t>
            </w:r>
          </w:p>
        </w:tc>
      </w:tr>
    </w:tbl>
    <w:p>
      <w:pPr>
        <w:spacing w:after="0" w:line="206"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Using the Black-Scholes option pricing model, the weighted-average grant date fair value of stock options granted during the nine months ended September 30, 2026 and 2025 was $8.71 and $18.96 per share, respectively.</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stock option activity during the nine months ended September 30, 2026 (in thousands, except share and per share amounts):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06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1,647,077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452,862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(129,843)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Cancelled</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(73,698)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September 30, 2026</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1,894,911</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6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FF0FC"/>
            </w:tcBorders>
          </w:tcPr>
          <w:p>
            <w:pPr>
              <w:ind w:left="700"/>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September 30, 2026</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1,059,516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24.66</w:t>
            </w:r>
          </w:p>
        </w:tc>
        <w:tc>
          <w:tcPr>
            <w:tcW w:w="12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36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ind w:left="7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-307975</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Compensation cost of $4.2 million and $5.6 million related to the options was recognized during the nine months ended September 30, 2026 and 2025, respectively. Compensation cost of $1.5 million and $1.8 million related to the options was recognized during the three months ended September 30, 2026 and 2025, respectively.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aggregate intrinsic value of stock options exercised during the nine months ended September 30, 2026 and 2025 was $0.0 million and $0.4 million, respectively.</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there was unrecognized stock-based compensation expense related to unvested stock options of $9.9 million, which the Company expects to recognize over a weighted-average period of approximately 2.4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granted Restricted Stock Units ("RSUs") to employees of the Company. RSUs are valued at the market price of a share of the Company’s stock on the date of grant. Compensation expense for RSUs is recognized on a straight-line basis over the service period. Forfeitures are recorded in the period in which they occur.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changes in RSU activity during the nine months ended September 30, 2026:</w:t>
      </w:r>
    </w:p>
    <w:p>
      <w:pPr>
        <w:spacing w:after="0" w:line="314"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3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6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 awards as of December 31, 2025</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506,981</w:t>
            </w: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253,315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(253,075)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(64,476)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 awards as of September 30, 2026</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442,745</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-25400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Compensation cost of $3.3 million and $0.0 million related to the RSUs was recognized during the nine months ended September 30, 2026 and 2025, respectively. Compensation cost of $1.3 million and $0.0 million related to the RSUs was recognized during the three months ended September 30, 2026 and 2025, respectively. As of September 30, 2026, there was unrecognized stock-based compensation expense related to unvested RSUs of $3.3 million, which the Company expects to recognize over a weighted-average period of approximately 1.4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nine months ended September 30, 2026, the Company granted Performance Stock Units ("PSUs") to an employee of the Company.</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PSUs are valued at the market price of a share of the Company’s stock on the date of grant. Compensation expense for PSUs is recognized on a straight-line basis over the requisite service periods when the achievement of the performance condition is determined to be probable, using management's best estimate. If a performance condition is not determined to be probable or is not met, no stock-based compensation expense is recognized, and any previously recognized expense is reversed. Forfeitures are recorded in the period in which they occur.</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changes in PSU activity during the nine months ended September 30, 2026:</w:t>
      </w:r>
    </w:p>
    <w:p>
      <w:pPr>
        <w:spacing w:after="0" w:line="206"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1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6200" w:type="dxa"/>
            <w:vAlign w:val="bottom"/>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performance stock unit awards as of December 31, 2025</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performance stock unit awards as of September 30, 2026</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-24765</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Compensation cost of $0.7 million and $0.0 million related to the PSUs was recognized during the nine months ended September 30, 2026 and 2025, respectively. No compensation cost related to the PSUs was recognized during the three months ended September 30, 2026 and 2025. As of September 30, 2026, there was unrecognized stock-based compensation expense related to unvested PSUs of $0.9 million, which will be recognized if and when achievement of the related performance conditions is deemed probable.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2023 ESPP allows employees to purchase shares of the Company's common stock. The purchase price is equal to 85% of the lower of the closing price of the Company’s common stock on the first day of the offering period or the last day of the offering period. The Company commenced the first offering pursuant to the 2023 ESPP on July 1, 2026, and such offering will end on November 19, 2026.</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no shares of common stock were purchased pursuant to the 2023 ESPP. Compensation cost of less than $0.1 million related to the 2023 ESPP was recognized during the three and nine months ended September 30, 2026. No compensation cost related to the 2023 ESPP was recognized during the three and nine months ended September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Collaboration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Genevant Agreement</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In March 2023, Legacy Korro entered into a collaboration and license agreement (the “Genevant Agreement”) with Genevant Sciences GmbH (“Genevant”). Key financial terms under the Genevant Agreement are as follows:</w:t>
      </w:r>
    </w:p>
    <w:p>
      <w:pPr>
        <w:spacing w:after="0" w:line="54" w:lineRule="exact"/>
        <w:rPr>
          <w:sz w:val="20"/>
          <w:szCs w:val="20"/>
          <w:color w:val="auto"/>
        </w:rPr>
      </w:pPr>
    </w:p>
    <w:p>
      <w:pPr>
        <w:ind w:left="1020" w:right="28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a $2.5 million payment to Genevant in March 2023 upon execution of the Genevant Agreement and recorded the payment within research and development expense in the consolidated statement of operations and comprehensive loss for the year ended December 31, 2023.</w:t>
      </w:r>
    </w:p>
    <w:p>
      <w:pPr>
        <w:spacing w:after="0" w:line="6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reimburse Genevant for certain out-of-pocket and full-time equivalent costs incurred as a result of research and development activities performed under the Genevant Agreement.</w:t>
      </w:r>
    </w:p>
    <w:p>
      <w:pPr>
        <w:spacing w:after="0" w:line="53"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is entitled to receive payments from the Company upon the achievement of certain milestones, including potential clinical milestone payments of up to $13.5 million, potential regulatory and development milestone payments of up to $27.0 million, and potential commercial milestone payments up to an aggregate total of $57.0 million.</w:t>
      </w:r>
    </w:p>
    <w:p>
      <w:pPr>
        <w:spacing w:after="0" w:line="6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is eligible to receive royalties at percentage rates in the mid-single-digits, based on future annual net sales of licensed products within the scope of the Genevant Agreement.</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development milestones of $2.5 million had been achieved. The Company recorded $0.1 million and $1.9 million within research and development expense in the condensed consolidated statement of operations and comprehensive loss during the nine months ended September 30, 2026 and 2025, respectively, related to the Genevant Agreement. The Company recorded $0.0 million and $0.1 million within research and development expense in the condensed consolidated statement of operations and comprehensive loss during the three months ended September 30, 2026 and 2025, respectively, related to the Genevant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Novo Nordisk Agreement</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On September 13, 2024, the Company entered into a research collaboration and license agreement with Novo Nordisk A/S (“Novo Nordisk”), pursuant to which the Company granted Novo Nordisk an exclusive worldwide license under certain intellectual property rights to research, develop, manufacture, commercialize or otherwise exploit certain licensed compounds and licensed products for an initial target in the cardiometabolic field and for a second target (to be nominated by Novo Nordisk within a specified time period as set forth in the agreement). Under the agreement, the Company is responsible for certain research and development activities with respect to licensed compounds and licensed products directed against the initial target and the second target (if nominated by Novo Nordisk), and the Company is eligible to receive cost reimbursement from Novo Nordisk for the Company's performance of such research and development activities under the agreement with respect to such target(s). Novo Nordisk may undertake subsequent worldwide development, manufacturing, marketing and commercialization of the licensed products directed against the initial target and the second target (if applicable). For additional information relating to the terms of such agreement, see Note 12 in the audited consolidated financial statements included in the 2025 Form 10-K.</w:t>
      </w:r>
    </w:p>
    <w:p>
      <w:pPr>
        <w:spacing w:after="0" w:line="8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October 2024, the Company received an upfront nonrefundable payment of $10.0 million from Novo Nordisk related to the first product candidate, or program target. The Company is entitled to an additional upfront nonrefundable payment from Novo Nordisk upon the selection of the second program target as well as related cost reimbursements.</w:t>
      </w:r>
    </w:p>
    <w:p>
      <w:pPr>
        <w:spacing w:after="0" w:line="66"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Company assessed this arrangement in accordance with ASC </w:t>
      </w:r>
      <w:r>
        <w:rPr>
          <w:rFonts w:ascii="Times New Roman" w:cs="Times New Roman" w:eastAsia="Times New Roman" w:hAnsi="Times New Roman"/>
          <w:sz w:val="18"/>
          <w:szCs w:val="18"/>
          <w:i w:val="1"/>
          <w:iCs w:val="1"/>
          <w:color w:val="auto"/>
        </w:rPr>
        <w:t>Topic 606, Revenue from Contracts with Customers,</w:t>
      </w:r>
      <w:r>
        <w:rPr>
          <w:rFonts w:ascii="Times New Roman" w:cs="Times New Roman" w:eastAsia="Times New Roman" w:hAnsi="Times New Roman"/>
          <w:sz w:val="18"/>
          <w:szCs w:val="18"/>
          <w:color w:val="auto"/>
        </w:rPr>
        <w:t xml:space="preserve"> and concluded that the contract counterparty, Novo Nordisk, is a customer. The Company determined that the research services and the exclusive licenses granted under the collaboration agreement for the initial target are not distinct and, therefore, the Company accounts for the research services and exclusive licenses as a single performance obligation. Additionally, the Company concluded that Novo Nordisk’s option to select a second target does not give rise to a material right or performance obligation until the additional target is selected due to the additional services being priced at standalone selling price. The Company recognizes revenue related to the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9" w:name="page20"/>
    <w:bookmarkEnd w:id="19"/>
    <w:p>
      <w:pPr>
        <w:ind w:right="180"/>
        <w:spacing w:after="0" w:line="258" w:lineRule="auto"/>
        <w:rPr>
          <w:sz w:val="20"/>
          <w:szCs w:val="20"/>
          <w:color w:val="auto"/>
        </w:rPr>
      </w:pPr>
      <w:r>
        <w:rPr>
          <w:rFonts w:ascii="Times New Roman" w:cs="Times New Roman" w:eastAsia="Times New Roman" w:hAnsi="Times New Roman"/>
          <w:sz w:val="18"/>
          <w:szCs w:val="18"/>
          <w:color w:val="auto"/>
        </w:rPr>
        <w:t>combined license and research services performance obligation over time using the input method. Under the input method, the extent of progress towards completion is measured based on the ratio of costs incurred to date to the total estimated costs at completion of the performance obligation, which the Company believes best measures its progress towards satisfying the combined performance obligation. A cost-based input method of revenue recognition requires management to make estimates of costs to complete the performance obligation. In making such estimates, judgment is required to evaluate assumptions related to cost estimates.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Effective November 11, 2025, the Company and Novo Nordisk entered into an amendment to the research collaboration and license agreement under which the Company and Novo Nordisk agreed to pause the research collaboration and license agreement for 12 months (the “hold period”), effective as of the date of the amendment. During the hold period, the parties agreed that all research and development activities and corresponding obligations under the agreement will be suspended without any liability or payment obligation for either party. The Company also agreed to promptly wind-down its research and development activities in connection with the license agreement and Novo Nordisk agreed to reimburse the Company for certain wind-down costs associated with the hold period. All wind-down activities were completed and reimbursed as of March 31, 2026.</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2026, the total transaction price was determined to be $40.0 million based on the $10.0 million upfront nonrefundable payment and $30.0 million of estimated research services for the first program target. During the nine months ended September 30, 2026 and 2025, the Company recognized total collaboration revenue of $0.0 million and $5.1 million, respectively. During the three months ended September 30, 2026 and 2025, the Company recognized total collaboration revenue of $0.0 million and $1.1 million, respectively. In November 2025, the Company agreed to a 12-month pause on such collaboration with Novo Nordisk, and accordingly, prior to receipt of the termination notice described below, the Company expected to recognize revenue through 2028.</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November 3, 2026, Novo Nordisk delivered written notice of its election to terminate the collaboration agreement in its entirety for convenience, as the agreement permits on 90 days’ prior written notice. The termination will take effect on February 1, 2027, at which time the licenses granted to Novo Nordisk under the agreement will terminate. Novo Nordisk will reimburse the Company for certain third-party wind-down costs and non-cancellable committed costs attributable to the termination. The upfront payment and other amounts previously received are non-refundable. The termination notice is a nonrecognized subsequent event, and no adjustments have been made to the condensed consolidated financial statements as of and for the three and nine months ended September 30, 2026.</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had $3.0 million of current deferred revenue and $4.8 million of non-current deferred revenue as of September 30, 2026, based on the period the services were expected to be performed and/or related costs to be incurred, which was the Company's best estimate as of September 30, 2026, prior to receipt of the termination notice. As the Company has no remaining obligation to perform research services under the agreement, the Company expects to recognize the remaining deferred revenue under the agreement of approximately $7.8 million in the fourth quarter of 2026. See Note 17, Subsequent Events.</w:t>
      </w:r>
    </w:p>
    <w:p>
      <w:pPr>
        <w:spacing w:after="0" w:line="116"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No milestones were achieved under the agreement and, as a result of the termination, the Company will not receive any milestone payments or royalties.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party to an operating lease for 50,453 square feet of office and laboratory space at 60 First Street, Cambridge, Massachusetts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First Street Lease”). In May 2023, the Company obtained control over the space and the Company recognized the operating lease right-of-use asset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lease liability of $26.8 million on the commencement date of the lease. The total rental payments over the 11-year lease are expected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$62.1 million, including rent credits and other lease incentives per the terms of the lease. Specifically, the 60 First Street Lease provides the Company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tenant improvement allowance of $13.1 million. The Company utilized full amount of the $13.1 million tenant improvement allowance as of December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2024. The lease has a remaining term of approximately eight years. The Company has an option to extend the lease for an additional period of five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with the rent during the option period being the then fair market rent.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firstLine="509"/>
        <w:spacing w:after="0" w:line="282" w:lineRule="auto"/>
        <w:rPr>
          <w:sz w:val="20"/>
          <w:szCs w:val="20"/>
          <w:color w:val="auto"/>
        </w:rPr>
      </w:pPr>
      <w:r>
        <w:rPr>
          <w:rFonts w:ascii="Times New Roman" w:cs="Times New Roman" w:eastAsia="Times New Roman" w:hAnsi="Times New Roman"/>
          <w:sz w:val="18"/>
          <w:szCs w:val="18"/>
          <w:color w:val="auto"/>
        </w:rPr>
        <w:t>The maturity of undiscounted payments due under lease liabilities and the present value of those liabilities as of September 30, 2026 were as follows (in thousands):</w:t>
      </w:r>
    </w:p>
    <w:p>
      <w:pPr>
        <w:spacing w:after="0" w:line="170"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4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5"/>
                <w:szCs w:val="15"/>
                <w:color w:val="auto"/>
              </w:rPr>
            </w:pPr>
          </w:p>
        </w:tc>
      </w:tr>
      <w:tr>
        <w:trPr>
          <w:trHeight w:val="20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8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80" w:type="dxa"/>
            <w:vAlign w:val="bottom"/>
          </w:tcPr>
          <w:p>
            <w:pPr>
              <w:spacing w:after="0"/>
              <w:rPr>
                <w:sz w:val="18"/>
                <w:szCs w:val="18"/>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7,778</w:t>
            </w:r>
          </w:p>
        </w:tc>
        <w:tc>
          <w:tcPr>
            <w:tcW w:w="8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80" w:type="dxa"/>
            <w:vAlign w:val="bottom"/>
          </w:tcPr>
          <w:p>
            <w:pPr>
              <w:spacing w:after="0"/>
              <w:rPr>
                <w:sz w:val="18"/>
                <w:szCs w:val="18"/>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8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28,471</w:t>
            </w:r>
          </w:p>
        </w:tc>
        <w:tc>
          <w:tcPr>
            <w:tcW w:w="80" w:type="dxa"/>
            <w:vAlign w:val="bottom"/>
          </w:tcPr>
          <w:p>
            <w:pPr>
              <w:spacing w:after="0"/>
              <w:rPr>
                <w:sz w:val="18"/>
                <w:szCs w:val="18"/>
                <w:color w:val="auto"/>
              </w:rPr>
            </w:pPr>
          </w:p>
        </w:tc>
      </w:tr>
      <w:tr>
        <w:trPr>
          <w:trHeight w:val="20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61,903</w:t>
            </w:r>
          </w:p>
        </w:tc>
        <w:tc>
          <w:tcPr>
            <w:tcW w:w="8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(20,380)</w:t>
            </w:r>
          </w:p>
        </w:tc>
      </w:tr>
      <w:tr>
        <w:trPr>
          <w:trHeight w:val="20"/>
        </w:trPr>
        <w:tc>
          <w:tcPr>
            <w:tcW w:w="4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41,523</w:t>
            </w:r>
          </w:p>
        </w:tc>
        <w:tc>
          <w:tcPr>
            <w:tcW w:w="80" w:type="dxa"/>
            <w:vAlign w:val="bottom"/>
            <w:shd w:val="clear" w:color="auto" w:fill="CFF0FC"/>
          </w:tcPr>
          <w:p>
            <w:pPr>
              <w:spacing w:after="0"/>
              <w:rPr>
                <w:sz w:val="19"/>
                <w:szCs w:val="19"/>
                <w:color w:val="auto"/>
              </w:rPr>
            </w:pP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2025, the Company recorded a non-cash, long-lived asset impairment charge of $15.0 million related to its operating right-of-use asset. For additional information relating to the charge, see Note 3 in the audited consolidated financial statements included in the 2025 Form 10-K.</w:t>
      </w:r>
    </w:p>
    <w:p>
      <w:pPr>
        <w:spacing w:after="0" w:line="17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the weighted average remaining lease term was 7.6 years and the weighted average incremental borrowing rate used to determine the operating lease liability was 11.2%.</w:t>
      </w:r>
    </w:p>
    <w:p>
      <w:pPr>
        <w:spacing w:after="0" w:line="162"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combines the lease and non-lease components of fixed costs in its lease arrangements as a single lease component. Variable costs, such as utilities and maintenance costs, are not included in the measurement of right-of-use assets and lease liabilities, but rather are expensed when the event determining the amount of variable consideration to be paid occurs.</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lease costs in the Company’s condensed consolidated statement of operations and comprehensive loss of its operating leases (in thousands):</w:t>
      </w:r>
    </w:p>
    <w:p>
      <w:pPr>
        <w:spacing w:after="0" w:line="182" w:lineRule="exact"/>
        <w:rPr>
          <w:sz w:val="20"/>
          <w:szCs w:val="20"/>
          <w:color w:val="auto"/>
        </w:rPr>
      </w:pPr>
    </w:p>
    <w:tbl>
      <w:tblPr>
        <w:tblLayout w:type="fixed"/>
        <w:tblInd w:w="1480" w:type="dxa"/>
        <w:tblCellMar>
          <w:top w:w="0" w:type="dxa"/>
          <w:left w:w="0" w:type="dxa"/>
          <w:bottom w:w="0" w:type="dxa"/>
          <w:right w:w="0" w:type="dxa"/>
        </w:tblCellMar>
      </w:tblPr>
      <w:tr>
        <w:trPr>
          <w:trHeight w:val="173"/>
        </w:trPr>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9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4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80" w:type="dxa"/>
            <w:vAlign w:val="bottom"/>
            <w:shd w:val="clear" w:color="auto" w:fill="CFF0FC"/>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80" w:type="dxa"/>
            <w:vAlign w:val="bottom"/>
          </w:tcPr>
          <w:p>
            <w:pPr>
              <w:spacing w:after="0"/>
              <w:rPr>
                <w:sz w:val="18"/>
                <w:szCs w:val="18"/>
                <w:color w:val="auto"/>
              </w:rPr>
            </w:pPr>
          </w:p>
        </w:tc>
      </w:tr>
      <w:tr>
        <w:trPr>
          <w:trHeight w:val="216"/>
        </w:trPr>
        <w:tc>
          <w:tcPr>
            <w:tcW w:w="2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lease costs</w:t>
            </w:r>
          </w:p>
        </w:tc>
        <w:tc>
          <w:tcPr>
            <w:tcW w:w="9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24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80" w:type="dxa"/>
            <w:vAlign w:val="bottom"/>
          </w:tcPr>
          <w:p>
            <w:pPr>
              <w:spacing w:after="0"/>
              <w:rPr>
                <w:sz w:val="18"/>
                <w:szCs w:val="18"/>
                <w:color w:val="auto"/>
              </w:rPr>
            </w:pPr>
          </w:p>
        </w:tc>
      </w:tr>
      <w:tr>
        <w:trPr>
          <w:trHeight w:val="20"/>
        </w:trPr>
        <w:tc>
          <w:tcPr>
            <w:tcW w:w="2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-170815</wp:posOffset>
            </wp:positionV>
            <wp:extent cx="514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-170815</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514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51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w:t>
      </w:r>
    </w:p>
    <w:p>
      <w:pPr>
        <w:spacing w:after="0" w:line="75"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was not subject to any material legal proceedings or claims as of September 30,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indemnifies each of its officers and directors for certain events or occurrences, subject to certain limits, while the officer or director is or was serving at the Company’s request in such capacity, as permitted under Delaware law and in accordance with the Company’s amended and restated certificate of incorporation and bylaws. The term of the indemnification period lasts as long as an officer or director may be subject to any proceeding arising out of acts or omissions of such officer or director in such capacity.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p>
      <w:pPr>
        <w:ind w:firstLine="509"/>
        <w:spacing w:after="0" w:line="261" w:lineRule="auto"/>
        <w:rPr>
          <w:sz w:val="20"/>
          <w:szCs w:val="20"/>
          <w:color w:val="auto"/>
        </w:rPr>
      </w:pPr>
      <w:r>
        <w:rPr>
          <w:rFonts w:ascii="Times New Roman" w:cs="Times New Roman" w:eastAsia="Times New Roman" w:hAnsi="Times New Roman"/>
          <w:sz w:val="18"/>
          <w:szCs w:val="18"/>
          <w:color w:val="auto"/>
        </w:rPr>
        <w:t>The maximum amount of potential future indemnification is unlimited; however, the Company currently holds director and officer liability insurance. This insurance allows the transfer of risk associated with the Company’s exposure and may enable the Company to recover a portion of any future amounts paid. The Company believes that the fair value of these potential indemnification obligations is minimal. Accordingly, the Company has not recognized any liabilities relating to these obligations for any period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401(k) Savings Plan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has a defined-contribution savings plan (the “401(k) Plan”) under Section 401(k) of the Internal Revenue Code of 1986, as amended (the "IRC"). The 401(k) Plan covers all employees who meet defined minimum age and service requirements and allows participants to defer a portion of their annual compensation, subject to statutory limitations. Effective in 2025, the Company makes an employer non-elective safe harbor contribution of 3% of the participant’s salary, subject to employer match limitations under the IRC. As such, the Company made $0.3 million and $0.4 million of contributions to the 401(k) Plan during the nine months ended September 30, 2026 and 2025,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4,148,836 shares underlying the pre-funded warrants are included in the calculation of basic and diluted net loss per share as of September 30, 2026, as the exercise price of $0.001 per share is not substantive and the shares are issuable for little or no consideration. Shares held in treasury are excluded from the weighted-average number of shares outstanding. No pre-funded warrants were outstanding as of September 30, 2025. The following common stock equivalents have been excluded from the calculation of diluted net loss per share because their effect would be anti-dilutive:</w:t>
      </w:r>
    </w:p>
    <w:p>
      <w:pPr>
        <w:spacing w:after="0" w:line="200"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8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28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1,894,911</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1,795,493</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 awards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442,745</w:t>
            </w: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performance stock unit awards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warrant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2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80" w:type="dxa"/>
            <w:vAlign w:val="bottom"/>
          </w:tcPr>
          <w:p>
            <w:pPr>
              <w:spacing w:after="0"/>
              <w:rPr>
                <w:sz w:val="18"/>
                <w:szCs w:val="18"/>
                <w:color w:val="auto"/>
              </w:rPr>
            </w:pPr>
          </w:p>
        </w:tc>
      </w:tr>
      <w:tr>
        <w:trPr>
          <w:trHeight w:val="250"/>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2,415,705</w:t>
            </w:r>
          </w:p>
        </w:tc>
        <w:tc>
          <w:tcPr>
            <w:tcW w:w="20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1,803,542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431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431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21"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segment and one operating segment, which is the business of discovering, developing and commercializing therapies derived from or incorporating its RNA-editing technology. The Company's chief operating decision maker ("CODM") is the chief executive officer.</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CODM assesses performance, monitors budget versus actual results, and decides how to allocate resources based on net loss that also is reported on the consolidated statements of operations and comprehensive loss. The CODM allocates resources based on the Company's available cash resources, forecasted cash flow, and expenditures on a consolidated basis, as well as an assessment of the probability of success of its research and development activities. Resource allocation decisions are informed by budgeted and forecasted expense information, along with actual expenses incurred to date. The accounting policies of the Company's single reportable segment are the same as those described in the summary of significant accounting policies. The level of disaggregation and amounts of significant segment expenses that are regularly provided to the CODM are the same as those presented in the consolidated statements of operations and comprehensive loss. Therefore, duplication of the Company’s consolidated statements of operations and comprehensive loss in this segment disclosure is not required.</w:t>
      </w:r>
    </w:p>
    <w:p>
      <w:pPr>
        <w:spacing w:after="0" w:line="8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sheets as total consolidated assets. All long-lived assets are located in the United States. Long-lived assets primarily consist of property and equipment, net, operating lease right-of-use assets and long-term marketable securities.</w:t>
      </w:r>
    </w:p>
    <w:p>
      <w:pPr>
        <w:spacing w:after="0" w:line="54"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Factors used in determining the reportable segment include the nature of the Company's operating activities, the organizational and reporting structure and the type of information reviewed by the CODM regularly to allocate resources and evaluate financial performance.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does not have intra-entity sales or transfers.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16. Restructuring</w:t>
      </w:r>
    </w:p>
    <w:p>
      <w:pPr>
        <w:spacing w:after="0" w:line="121" w:lineRule="exact"/>
        <w:rPr>
          <w:sz w:val="20"/>
          <w:szCs w:val="20"/>
          <w:color w:val="auto"/>
        </w:rPr>
      </w:pPr>
    </w:p>
    <w:p>
      <w:pPr>
        <w:ind w:right="660" w:firstLine="509"/>
        <w:spacing w:after="0" w:line="266" w:lineRule="auto"/>
        <w:rPr>
          <w:sz w:val="20"/>
          <w:szCs w:val="20"/>
          <w:color w:val="auto"/>
        </w:rPr>
      </w:pPr>
      <w:r>
        <w:rPr>
          <w:rFonts w:ascii="Times New Roman" w:cs="Times New Roman" w:eastAsia="Times New Roman" w:hAnsi="Times New Roman"/>
          <w:sz w:val="18"/>
          <w:szCs w:val="18"/>
          <w:color w:val="auto"/>
        </w:rPr>
        <w:t>In May 2025, the Company implemented a strategic plan to streamline its operations, including a reduction in the Company’s workforce by approximately 20%. In November 2025, the Company implemented a strategic restructuring to extend cash runway, including a reduction in the Company’s workforce by approximately 34%.</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2025, the Company recorded a one-time restructuring charge of $1.2 million related to the May 2025 workforce reduction, including employee severance, benefits and related termination costs, which are included under the caption “Restructuring charge” in the Company’s consolidated statement of operations and comprehensive loss. During the year ended December 31, 2025, all activities related to the May 2025 workforce reduction were completed. During the nine months ended September 30, 2026, all activities related to the November 2025 workforce reduction were completed. Restructuring cost accruals are included under the caption “Accrued expenses and other current liabilities” in the Company's condensed consolidated balance sheet.</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activity for the November 2025 Workforce Reduction:</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Employee</w:t>
            </w:r>
          </w:p>
        </w:tc>
      </w:tr>
      <w:tr>
        <w:trPr>
          <w:trHeight w:val="148"/>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separation</w:t>
            </w:r>
          </w:p>
        </w:tc>
      </w:t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costs</w:t>
            </w:r>
          </w:p>
        </w:tc>
      </w:tr>
      <w:tr>
        <w:trPr>
          <w:trHeight w:val="210"/>
        </w:trPr>
        <w:tc>
          <w:tcPr>
            <w:tcW w:w="20" w:type="dxa"/>
            <w:vAlign w:val="bottom"/>
          </w:tcPr>
          <w:p>
            <w:pPr>
              <w:spacing w:after="0"/>
              <w:rPr>
                <w:sz w:val="18"/>
                <w:szCs w:val="18"/>
                <w:color w:val="auto"/>
              </w:rPr>
            </w:pPr>
          </w:p>
        </w:tc>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(1,919)</w:t>
            </w:r>
          </w:p>
        </w:tc>
      </w:tr>
      <w:tr>
        <w:trPr>
          <w:trHeight w:val="209"/>
        </w:trPr>
        <w:tc>
          <w:tcPr>
            <w:tcW w:w="20" w:type="dxa"/>
            <w:vAlign w:val="bottom"/>
          </w:tcPr>
          <w:p>
            <w:pPr>
              <w:spacing w:after="0"/>
              <w:rPr>
                <w:sz w:val="18"/>
                <w:szCs w:val="18"/>
                <w:color w:val="auto"/>
              </w:rPr>
            </w:pPr>
          </w:p>
        </w:tc>
        <w:tc>
          <w:tcPr>
            <w:tcW w:w="6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November 3, 2026, Novo Nordisk delivered written notice of its election to terminate the collaboration agreement in its entirety for convenience, effective February 1, 2027 after a contractual 90 day notice period. The termination notice is a nonrecognized subsequent event; accordingly, no adjustments were made to the condensed consolidated financial statements as of September 30, 2026. As a result, the Company expects to recognize the remaining deferred revenue under the agreement of approximately $7.8 million in the fourth quarter of 2026. See Note 11, Collaboration Agreements.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and the audited consolidated financial statements and related notes included in our Annual Report on Form 10-K for the year ended December 31, 2025, or the 2025 10-K. Some of the information contained in this discussion and analysis, including information with respect to our plans and strategy for our business and related financing, includes forward-looking statements that involve risks and uncertainties. As a result of many factors, including those factors set forth under the heading “Risk Factors” in Part II, Item 1A of this Quarterly Report our actual results could differ materially from the results described in or implied by the forward-looking statements contained in the following discussion and analysis. See also “Cautionary Statement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We are a clinical-stage biopharmaceutical company leveraging a novel oligonucleotide promoted editing of RNA, or OPERA, platform to develop a new class of genetic medicines for rare and highly prevalent diseases. OPERA provides precise, tissue-directed delivery of RNA-editing oligonucleotides, or REOs, that modify the targeted native mRNA transcript to repair or form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protein with enhanced functionality. The platform combines a suite of capabilities consisting of sophisticated knowledge of transcription biology through ADAR proteins (Adenosine Deaminases Acting on RNA), machine learning optimization of REOs, linker chemistry expertise, along with use of a highly targeted tissue-specific delivery methodology. As such, the OPERA platform has enabled us to generate and advance a portfolio of differentiated programs that are designed to harness the body’s natural RNA editing process, providing precise yet transient single base edits to produce therapeutic proteins with augmented activity versus its endogenous counterpart. By editing RNA instead of DNA, we are expanding the reach of genetic medicines by delivering additional precision and tunability, which has the potential for increased specificity and improved long-term tolerability. Using an REO-based approach, we expect to bring our medicines to patients by leveraging our proprietary OPERA platform with precedented delivery modalities, including N-acetylgalactosamine, or GalNAc, conjugated delivery for subcutaneous administration, manufacturing know-how, and established regulatory pathways of approved oligonucleotide medicines. However, the scientific evidence to support the feasibility of developing our development candidates using our RNA editing technology is both preliminary and limited. Moreover, regulators have not yet established any definitive guidelines related to overall development considerations for RNA editing therapies and limited clinical data has been generated to date.</w:t>
      </w:r>
    </w:p>
    <w:p>
      <w:pPr>
        <w:spacing w:after="0" w:line="8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versatility of RNA editing combined with our OPERA platform broadens the therapeutic target space significantly. The advent of large-scale genome sequencing has progressively revealed causal genetic variation underlying several human diseases, both rare and highly prevalent. Genetic mutations, including single nucleotide variants, or SNVs, implicated in disease have been found to be diverse in nature and can affect the function of genes and their associated downstream biochemical pathways. Data correlating DNA to RNA to disease phenotype have demonstrated that SNVs lead to a loss-of-function or a gain-of-function of the gene. In addition, the majority of SNVs implicated in complex diseases are due to modulation of gene function. By editing RNA to mimic an SNV, we believe we will be able to address unmet patient need by transiently modifying gene expression and the resultant protein function.</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continue to make meaningful advancements across our programs, including KRRO-121 as a potential first-in-class treatment for hyperammonemia that has the potential to address substantial unmet need in patients with poor ammonia control, including those with urea cycle disorders, or UCD, and hepatic encephalopathy, or HE, as well as KRRO-111, our proprietary GalNAc-conjugated REO in development for the treatment of AATD.</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Since inception, we have focused primarily on organizing and staffing our company, business planning, raising capital, securing related intellectual property, and conducting research and development activities for our potential programs and development candidates. Since inception, we have funded our operations primarily through the private placement of our equity securities. To date, we have raised approximately $501.0 million of aggregate gross proceeds from sales of our equity securities.</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Our net losses were $56.1 million and $67.2 million for the nine months ended September 30, 2026 and 2025, respectively. We had an accumulated deficit of $439.9 million as of September 30, 2026. We expect to continue to incur significant and increasing expenses and operating losses and negative operating cash flows for the foreseeable future as we continue our research and development efforts, advance development candidates through clinical development, and seek regulatory approvals for our development candidates. Our net losses may fluctuate significantly from quarter-to-quarter and year-to-year, depending on the timing of our preclinical studies, initiation and conduct of any clinical trials, and our expenditures on other research and development activities, including the expansion of our pipeline.</w:t>
      </w:r>
    </w:p>
    <w:p>
      <w:pPr>
        <w:spacing w:after="0" w:line="7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do not have any development candidates approved for sale and have not generated any revenue from product sales. We will not generate revenue from product sales unless and until we successfully obtain regulatory approval for our development candidates, if ever, and as appropriate, move pipeline candidates into the clinic and complete clinical development. If we obtain regulatory approval for our development candidates and do not enter into third-party commercialization partnerships, we expect to incur significant expenses related to developing commercialization capabilities to support product sales, marketing, manufacturing and distribution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ind w:right="20"/>
        <w:spacing w:after="0" w:line="258" w:lineRule="auto"/>
        <w:rPr>
          <w:sz w:val="20"/>
          <w:szCs w:val="20"/>
          <w:color w:val="auto"/>
        </w:rPr>
      </w:pPr>
      <w:r>
        <w:rPr>
          <w:rFonts w:ascii="Times New Roman" w:cs="Times New Roman" w:eastAsia="Times New Roman" w:hAnsi="Times New Roman"/>
          <w:sz w:val="18"/>
          <w:szCs w:val="18"/>
          <w:color w:val="auto"/>
        </w:rPr>
        <w:t>activities. As a result, we will need substantial additional funding to support our continuing operations and pursue our development and growth strategy. Until we can generate significant revenue from product sales, if ever, we expect to finance our operations through a combination of public or private offerings of securities,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Updates and Other 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KRRO-121</w:t>
      </w:r>
    </w:p>
    <w:p>
      <w:pPr>
        <w:spacing w:after="0" w:line="121" w:lineRule="exact"/>
        <w:rPr>
          <w:sz w:val="20"/>
          <w:szCs w:val="20"/>
          <w:color w:val="auto"/>
        </w:rPr>
      </w:pPr>
    </w:p>
    <w:p>
      <w:pPr>
        <w:ind w:firstLine="554"/>
        <w:spacing w:after="0" w:line="261" w:lineRule="auto"/>
        <w:rPr>
          <w:sz w:val="20"/>
          <w:szCs w:val="20"/>
          <w:color w:val="auto"/>
        </w:rPr>
      </w:pPr>
      <w:r>
        <w:rPr>
          <w:rFonts w:ascii="Times New Roman" w:cs="Times New Roman" w:eastAsia="Times New Roman" w:hAnsi="Times New Roman"/>
          <w:sz w:val="18"/>
          <w:szCs w:val="18"/>
          <w:color w:val="auto"/>
        </w:rPr>
        <w:t xml:space="preserve">KRRO-121 is a GalNAc-conjugated REO in development for the potential treatment of hyperammonemia in patients with UCDs of any mutational background as well as patients with HE. Utilizing our proprietary OPERA platform, KRRO-121 is designed to generate a stabilized,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glutamine synthetase, or GS, protein, a critical enzyme in an alternate pathway involved in ammonia clearance. This synthetic rescue approach is designed to augment ammonia clearance in hyperammonemia-driven diseases such as UCDs and HE.</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preclinical data support the potential for KRRO-121 to be a pan-UCD treatment that may control ammonia levels, along with the potential to enable diet liberalization, reduce dependence on nitrogen scavengers, and lower the risk of hyperammonemic crises. In preclinical studies, KRRO-121 stabilized GS protein in human induced pluripotent stem cell, or iPSC, -derived hepatocytes deficient in ornithine transcarbamylase, or OTC, and we observed similar results in iPSC-derived hepatocytes deficient in argininosuccinate synthetase 1, or ASS1. In mouse models of OTC deficiency and carbamoyl phosphate synthetase 1, or CPS-1, deficiency subjected to an ammonia challenge, a mouse-optimized surrogate oligonucleotide reduced plasma ammonia levels following the challenge relative to vehicle control. In a mouse model of argininosuccinate lyase, or ASL, deficiency, treatment with the mouse-optimized surrogate oligonucleotide increased median survival from 18 days to 23 days compared to vehicle. Results of preclinical studies may not be predictive of results in humans. Whether KRRO-121 will control ammonia levels, enable diet liberalization, reduce dependence on nitrogen scavengers or lower the risk of hyperammonemic crises in patients with UCDs, or enhance ammonia control or reduce the risk of recurrent HE episodes in patients with HE, has not been established and will depend on the results of clinical trials. KRRO-121 may permit infrequent subcutaneous dosing; however, its dosing regimen has not been established in clinical studies.</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KRRO-121 is being evaluated in ANCHOR (AssessmeNt of Control of Hyperammonemia through Oligonucleotide-based RNA editing), our global, two-part Phase 1/2 clinical trial program evaluating the safety, tolerability, pharmacokinetics, or PK, and clinical activity of KRRO-121. Part 1 of ANCHOR consists of a Phase 1 single ascending dose, or SAD, study, to be followed by a Phase 1 multiple ascending dose, or MAD, study, of KRRO-121 and placebo in healthy volunteers to evaluate safety, tolerability and PK in up to 50 participants. The SAD portion is designed to enroll up to 30 healthy volunteers across up to five cohorts, and the MAD portion is designed to evaluate selected doses of KRRO-121 in up to 20 healthy volunteers across two cohorts. Both the SAD and MAD portions are placebo-controlled. Part 2 of ANCHOR is designed as an open-label Phase 2 multiple dose study in participants with UCDs who are on stable background standard of care to assess safety, tolerability, PK and clinical activity. The initiation, design and endpoints of Part 2 are subject to regulatory review and clearance to proceed.</w:t>
      </w:r>
    </w:p>
    <w:p>
      <w:pPr>
        <w:spacing w:after="0" w:line="84" w:lineRule="exact"/>
        <w:rPr>
          <w:sz w:val="20"/>
          <w:szCs w:val="20"/>
          <w:color w:val="auto"/>
        </w:rPr>
      </w:pPr>
    </w:p>
    <w:p>
      <w:pPr>
        <w:jc w:val="both"/>
        <w:ind w:right="440" w:firstLine="509"/>
        <w:spacing w:after="0" w:line="261" w:lineRule="auto"/>
        <w:rPr>
          <w:sz w:val="20"/>
          <w:szCs w:val="20"/>
          <w:color w:val="auto"/>
        </w:rPr>
      </w:pPr>
      <w:r>
        <w:rPr>
          <w:rFonts w:ascii="Times New Roman" w:cs="Times New Roman" w:eastAsia="Times New Roman" w:hAnsi="Times New Roman"/>
          <w:sz w:val="18"/>
          <w:szCs w:val="18"/>
          <w:color w:val="auto"/>
        </w:rPr>
        <w:t>In September 2026, we initiated Part 1 of ANCHOR and dosed the first cohort of healthy volunteers in the SAD portion with a single dose of KRRO-121 or placebo. We announced the dosing of the first cohort in October 2026. ANCHOR does not include patients with HE, and we have not initiated a clinical trial of KRRO-121 in patients with HE. Dosing of UCD patients in Part 2 of ANCHOR is expected to start in the first half of 2027, subject to regulatory clearance to proceed, with an interim clinical readout expected in the second half of 2027.</w:t>
      </w:r>
    </w:p>
    <w:p>
      <w:pPr>
        <w:spacing w:after="0" w:line="7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August 2026, we announced that the European Commission granted orphan drug designation to KRRO-121 for the treatment of UCDs, and in August 2026, the U.S. Food and Drug Administration, or FDA, granted rare pediatric disease designation to KRRO-121 for the treatment of UCDs.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KRRO-111</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KRRO-111 is a proprietary GalNAc-conjugated REO in development for the potential treatment of AATD. KRRO-111 is delivered subcutaneously to the liver cells, where it is engineered to co-opt the hepatocytes’ endogenous ADAR enzyme and repair a pathogenic SNV on alpha-1 antitrypsin, or AAT, mRNA to restore production of the normal M variant of AAT, or M-AAT, protein while reducing synthesis of the mutant Z variant of AAT, or Z-AAT. This therapeutic profile and titratable dosing position KRRO-111 as a potential best-in-class candidate. In preclinical studies, KRRO-111, to our knowledge, demonstrated best-in-class RNA editing where over 90% of the AAT transcripts in the liver cells have been corrected, translating into approximately 90% M-AAT protein. In a repeat-dose study, KRRO-111 was administered to PiZZ mice with a loading phase followed by dosing once every two weeks. KRRO-111 demonstrated a reduction of non-inclusion Z-AAT by approximately 95% and a reduction in pre-existing aggregates by approximately 62% at day 28 with RNA editing in a mouse model of AATD. Pre-existing aggregates were progressively cleared, with</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5" w:name="page26"/>
    <w:bookmarkEnd w:id="25"/>
    <w:p>
      <w:pPr>
        <w:ind w:right="40"/>
        <w:spacing w:after="0" w:line="282" w:lineRule="auto"/>
        <w:rPr>
          <w:sz w:val="20"/>
          <w:szCs w:val="20"/>
          <w:color w:val="auto"/>
        </w:rPr>
      </w:pPr>
      <w:r>
        <w:rPr>
          <w:rFonts w:ascii="Times New Roman" w:cs="Times New Roman" w:eastAsia="Times New Roman" w:hAnsi="Times New Roman"/>
          <w:sz w:val="18"/>
          <w:szCs w:val="18"/>
          <w:color w:val="auto"/>
        </w:rPr>
        <w:t>inclusion-associated Z-AAT significantly reduced by approximately 62% at day 28, consistent with autophagic clearance of accumulated protein following successful editing.</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October 2026, we announced additional preclinical data for KRRO-111. In a repeat-dose study in NSG-PiZ mice in which KRRO-111 was administered subcutaneously once weekly, SERPINA1 mRNA editing reached 96%, with M-AAT comprising 93% of total circulating AAT and total AAT concentrations reaching 172 µM (approximately six-fold relative to vehicle) at day 57. In a repeat-dose study in immunocompetent C57BL/6-PiZ mice in which KRRO-111 was administered subcutaneously once weekly, KRRO-111 resulted in robust, dose-dependent correction of SERPINA1 mRNA and M-AAT. KRRO-111 also reduced whole liver Z-AAT levels by up to 95% relative to vehicle control at day 57, as measured by liquid chromatography tandem mass spectrometry. By simultaneously increasing circulating M-AAT protein and decreasing pathogenic Z-AAT aggregates in the lung, KRRO-111 has the potential to be the best-in-class agent, improving both lung and liver manifestations of AATD. Results of preclinical studies may not be predictive of results in humans, and these potential effects of KRRO-111 have not been evaluated in humans. Regulatory submission for KRRO-111 is expected in the first half of 2027.</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with Novo Nordisk</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September 2024, we entered into a research collaboration and license agreement, or the collaboration and license agreement, with Novo Nordisk A/S, or Novo Nordisk, which we amended in November 2025 to pause the agreement for 12 months. We completed the wind-down of our research and development activities under the agreement in the first quarter of 2026. Novo Nordisk did not exercise its right to substitute the collaboration target during the hold period. We did not recognize collaboration revenue under the collaboration and license agreement during the three months ended September 30, 2026. On November 3, 2026, after the end of the quarter, we received written notice from Novo Nordisk of its election to terminate the collaboration and license agreement for convenience. The termination will be effective on February 1, 2027. For additional information, see Note 11, Collaboration Agreement and Note 17 Subsequent Events, in the condensed consolidated financial statements included in this Quarterly Report.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not generated any revenue from product sales, and do not expect to generate any revenue from the sale of products in the near future. During the nine months ended September 30, 2026 and 2025, we recognized $0.0 million and $5.1 million of collaboration revenue, respectively, which is related to our research collaboration and license agreement with Novo Nordisk. On November 3, 2026, Novo Nordisk delivered written notice of its election to terminate the collaboration agreement in its entirety for convenience. Accordingly, we expect to recognize the remaining deferred revenue under the agreement of approximately $7.8 million in the fourth quarter of 2026.</w:t>
      </w:r>
    </w:p>
    <w:p>
      <w:pPr>
        <w:spacing w:after="0" w:line="7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our revenue recognition policy and our collaboration and license agreement with Novo Nordisk, which is being terminated effective February 1, 2027, see Note 11, Collaboration Agreements, in the condensed consolidated financial statements included in this Quarterly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of novel genetic medicines and the development of our development candidates, salaries and benefits, and third-party license fees. We expense research and development costs as incurred, which include:</w:t>
      </w:r>
    </w:p>
    <w:p>
      <w:pPr>
        <w:spacing w:after="0" w:line="68" w:lineRule="exact"/>
        <w:rPr>
          <w:sz w:val="20"/>
          <w:szCs w:val="20"/>
          <w:color w:val="auto"/>
        </w:rPr>
      </w:pPr>
    </w:p>
    <w:p>
      <w:pPr>
        <w:ind w:left="1020" w:right="4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and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or CROs, that conduct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purchasing lab supplies and non-capital equipment used in our preclinical activities and in manufacturing preclinical study materials, as well as supplies and materials used to manufacture clinical trial materials;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and contractors engaged in research and development activities, including their fees and travel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and allocated expenses for facilities.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Costs for certain activities are recognized based on an evaluation of the progress to completion of specific tasks using data such as information provided to us by our vendors and analyzing the progress of our preclinical studies, clinical trials or other services performed. Nonrefundable advance payments for goods or services to be received in the future for use in research and development activities are capitalized. The capitalized amounts are expensed as the related goods are delivered or the services are performed. Significant judgment and estimates are made in determining the accrued expense balances and prepaid expense balances at the end of any reporting period.</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 large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and facility expenses, mainly including office rent expenses and depreciation expenses. We do not allocate our internal research and development expenses to specific drug candidate programs as they are deployed across multiple projects under research and development.</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successful development of our development candidates is highly uncertain. We plan to substantially increase our research and development expenses for the foreseeable future as we continue the development of our development candidates, conduct discovery and research activities for our preclinical programs, and expand our pipeline. We cannot determine with certainty the timing of initiation, the duration or the completion costs of current or future preclinical studies and clinical trials of our development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development candidates to pursue and how much funding to direct to each development candidate on an ongoing basis in response to the results of ongoing and future preclinical studies and clinical trials, regulatory developments and our ongoing assessments as to each development candidate’s commercial potential. Our clinical development costs are expected to increase significantly as we commence clinical trials. We anticipate that our expenses will increase substantially, particularly due to the numerous risks and uncertainties associated with developing development candidates, including the uncertainty of:</w:t>
      </w:r>
    </w:p>
    <w:p>
      <w:pPr>
        <w:spacing w:after="0" w:line="86" w:lineRule="exact"/>
        <w:rPr>
          <w:sz w:val="20"/>
          <w:szCs w:val="20"/>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clinical trials and other research and development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 enabling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development candidates show safety and efficacy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development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development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products following any regulatory approval.</w:t>
      </w:r>
    </w:p>
    <w:p>
      <w:pPr>
        <w:spacing w:after="0" w:line="11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our development candidates in preclinical and clinical development could mean a significant change in the costs and timing associated with the development of these development candidates. We may never succeed in achieving regulatory approval for any of our development candidates. We may obtain unexpected results from our clinical trials. We may elect to discontinue, delay or modify clinical trials of some development candidates or focus on other development candidates. For example, if the Food and Drug Administration, or FDA, European Medicines Agency, or EMA, the Human Research Ethics Committee, or HREC, Therapeutic Goods Administration, or TGA, the Health and Disability Ethics Committees, or HDEC, or another regulatory authority were to delay the planned start of clinical trials or require us to conduct clinical trials or other testing beyond those that we currently expect or if we experience significant delays in enrollment in any planned clinical trial, we could be required to expend significant additional financial resources and time on the completion of clinical development of that development candidate.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related costs, including salaries, bonuses, benefits, stock-based compensation and other related costs for our executive and administrative functions. General and administrative expenses also include professional services, including legal, finance, accounting, human resources and other consulting fees. General and administrative expenses also include facility costs not otherwise included in research and development expenses.</w:t>
      </w:r>
    </w:p>
    <w:p>
      <w:pPr>
        <w:spacing w:after="0" w:line="1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incur costs associated with being a public company and maintaining controls over financial reporting, including costs of accounting, audit, legal, regulatory, compliance and director and officer insurance costs as well as investor and public relations expenses.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May 2025, we announced a strategic plan to streamline our operations, including a workforce reduction of approximately 20%, and in November 2025 announced a further workforce reduction of approximately 34%. Restructuring charges consist primarily of severance and employee benefits costs incurred in relation to our reductions in force.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primarily consists of interest income earned on money market fund accounts and marketable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2026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and nine months ended September 30, 2026 and 2025:</w:t>
      </w:r>
    </w:p>
    <w:p>
      <w:pPr>
        <w:spacing w:after="0" w:line="233"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(1,090)</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(1,716)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38,643</w:t>
            </w: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53,694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Restructuring charge</w:t>
            </w: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(18,456)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(19,237)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(59,002)</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(71,459)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income, net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(17,288)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(18,061)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(55,626)</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(67,217)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(463)</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(17,548)</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(18,061)</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(56,089)</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(67,218)</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-1174115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-1174115</wp:posOffset>
            </wp:positionV>
            <wp:extent cx="603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-1174115</wp:posOffset>
            </wp:positionV>
            <wp:extent cx="603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-1174115</wp:posOffset>
            </wp:positionV>
            <wp:extent cx="603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-1174115</wp:posOffset>
            </wp:positionV>
            <wp:extent cx="596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-1174115</wp:posOffset>
            </wp:positionV>
            <wp:extent cx="60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-607695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-607695</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-607695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-607695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-607695</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-607695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-316230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-316230</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-316230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-316230</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-316230</wp:posOffset>
            </wp:positionV>
            <wp:extent cx="596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-316230</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596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-24765</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2026 and 2025, we recognized $0.0 million and $1.1 million, respectively, of collaboration revenue from our research collaboration and license agreement with Novo Nordisk. During the nine months ended September 30, 2026 and 2025, we recognized $0.0 million and $5.1 million, respectively, of collaboration revenue from our research collaboration and license agreement with Novo Nordisk. On November 3, 2026, Novo Nordisk delivered written notice of its election to terminate the collaboration agreement in its entirety for convenience. Accordingly, we expect to recognize the remaining deferred revenue under the agreement of approximately $7.8 million in the fourth quarter of 2026.</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9"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and nine months ended September 30, 2026 and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3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Development candidate expenses</w:t>
            </w:r>
          </w:p>
        </w:tc>
        <w:tc>
          <w:tcPr>
            <w:tcW w:w="2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KRRO-110</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(AATD) external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(3,578)</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(15,073)</w:t>
            </w:r>
          </w:p>
        </w:tc>
        <w:tc>
          <w:tcPr>
            <w:tcW w:w="0" w:type="dxa"/>
            <w:vAlign w:val="bottom"/>
          </w:tcPr>
          <w:p>
            <w:pPr>
              <w:spacing w:after="0"/>
              <w:rPr>
                <w:sz w:val="1"/>
                <w:szCs w:val="1"/>
                <w:color w:val="auto"/>
              </w:rPr>
            </w:pPr>
          </w:p>
        </w:tc>
      </w:tr>
      <w:tr>
        <w:trPr>
          <w:trHeight w:val="216"/>
        </w:trPr>
        <w:tc>
          <w:tcPr>
            <w:tcW w:w="1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KRRO-111</w:t>
            </w:r>
          </w:p>
        </w:tc>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(AATD) external expenses</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KRRO-121</w:t>
            </w: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(UCD) external expenses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Unallocated research and development expenses</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research and pre-development candidate expenses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Personnel expenses</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(4,590)</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Facilities expenses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(1,716)</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38,643</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53,694</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(15,051)</w:t>
            </w:r>
          </w:p>
        </w:tc>
        <w:tc>
          <w:tcPr>
            <w:tcW w:w="0" w:type="dxa"/>
            <w:vAlign w:val="bottom"/>
          </w:tcPr>
          <w:p>
            <w:pPr>
              <w:spacing w:after="0"/>
              <w:rPr>
                <w:sz w:val="1"/>
                <w:szCs w:val="1"/>
                <w:color w:val="auto"/>
              </w:rPr>
            </w:pPr>
          </w:p>
        </w:tc>
      </w:tr>
      <w:tr>
        <w:trPr>
          <w:trHeight w:val="20"/>
        </w:trPr>
        <w:tc>
          <w:tcPr>
            <w:tcW w:w="1040" w:type="dxa"/>
            <w:vAlign w:val="bottom"/>
            <w:tcBorders>
              <w:top w:val="single" w:sz="8" w:color="CFF0FC"/>
            </w:tcBorders>
            <w:shd w:val="clear" w:color="auto" w:fill="CFF0FC"/>
          </w:tcPr>
          <w:p>
            <w:pPr>
              <w:spacing w:after="0" w:line="20" w:lineRule="exact"/>
              <w:rPr>
                <w:sz w:val="1"/>
                <w:szCs w:val="1"/>
                <w:color w:val="auto"/>
              </w:rPr>
            </w:pPr>
          </w:p>
        </w:tc>
        <w:tc>
          <w:tcPr>
            <w:tcW w:w="35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-25400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-25400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$12.1 million for the three months ended September 30, 2026, compared to $13.8 million for the three months ended September 30, 2025. The decrease was primarily due to the following:</w:t>
      </w:r>
    </w:p>
    <w:p>
      <w:pPr>
        <w:spacing w:after="0" w:line="54" w:lineRule="exact"/>
        <w:rPr>
          <w:sz w:val="20"/>
          <w:szCs w:val="20"/>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$3.6 million decrease in KRRO-110 external expenses primarily due to the termination of the Phase 1/2a REWRITE clinical trial during the first quarter of 2026;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$0.8 million decrease in personnel-related expenses, primarily due to a decrease in headcount resulting from the May and November 2025 workforce reductions, partially offset by an increase in stock-based compensation costs;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$0.6 million decrease in facilities expenses primarily due to a decrease in depreciation expense attributable to the impairment charge recorded during the fourth quarter of 2025;</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 by a $1.9 million increase in KRRO-121 external expenses, primarily due to an increase in preclinical, manufacturing, and clinical costs for the Phase 1/2 ANCHOR clinical trial;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 million increase in KRRO-111 external expenses, primarily due to an increase in preclinical and manufacturing costs;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$0.3 million increase in other research and pre-development candidate expenses.</w:t>
      </w:r>
    </w:p>
    <w:p>
      <w:pPr>
        <w:spacing w:after="0" w:line="22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$38.6 million for the nine months ended September 30, 2026, compared to $53.7 million for the nine months ended September 30, 2025. The decrease was primarily due to the following:</w:t>
      </w:r>
    </w:p>
    <w:p>
      <w:pPr>
        <w:spacing w:after="0" w:line="54" w:lineRule="exact"/>
        <w:rPr>
          <w:sz w:val="20"/>
          <w:szCs w:val="20"/>
          <w:color w:val="auto"/>
        </w:rPr>
      </w:pPr>
    </w:p>
    <w:p>
      <w:pPr>
        <w:ind w:left="1020" w:right="1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$15.1 million decrease in KRRO-110 external expenses primarily due to the termination of the Phase 1/2a REWRITE clinical trial during the first quarter of 2026;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$4.6 million decrease in personnel-related expenses, primarily due to a decrease in headcount resulting from the May and November 2025 workforce reductions, partially offset by an increase in stock-based compensation costs; and</w:t>
      </w:r>
    </w:p>
    <w:p>
      <w:pPr>
        <w:spacing w:after="0" w:line="53" w:lineRule="exact"/>
        <w:rPr>
          <w:rFonts w:ascii="Times New Roman" w:cs="Times New Roman" w:eastAsia="Times New Roman" w:hAnsi="Times New Roman"/>
          <w:sz w:val="18"/>
          <w:szCs w:val="18"/>
          <w:color w:val="auto"/>
        </w:rPr>
      </w:pPr>
    </w:p>
    <w:p>
      <w:pPr>
        <w:ind w:left="1020" w:right="9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$3.2 million decrease in other research and pre-development candidate expenses primarily due to a decrease in lab supplies and consumables;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 million decrease in facilities expenses primarily due to a decrease in depreciation expense attributable to the impairment charge recorded during the fourth quarter of 2025;</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 by a $6.7 million increase in KRRO-121 external expenses, primarily due to an increase in preclinical, manufacturing, and clinical costs for the Phase 1/2 ANCHOR clinical trial;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$3.3 million increase in KRRO-111 external expenses, primarily due to an increase in preclinical and manufacturing costs.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and nine months ended September 30, 2026 and 2025:</w:t>
      </w:r>
    </w:p>
    <w:p>
      <w:pPr>
        <w:spacing w:after="0" w:line="23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gridSpan w:val="2"/>
            <w:vMerge w:val="restart"/>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62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Facilities expenses</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62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20,359</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21,632</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-25400</wp:posOffset>
            </wp:positionV>
            <wp:extent cx="603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-25400</wp:posOffset>
            </wp:positionV>
            <wp:extent cx="596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596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-25400</wp:posOffset>
            </wp:positionV>
            <wp:extent cx="603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603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03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-25400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$6.4 million for the three months ended September 30, 2026, compared to $6.5 million for the three months ended September 30, 2025. The decrease was primarily due to the following:</w:t>
      </w:r>
    </w:p>
    <w:p>
      <w:pPr>
        <w:spacing w:after="0" w:line="5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$0.4 million decrease in other expenses, primarily due to a decrease in information technology expenses; and</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$0.2 million decrease in facilities expenses primarily due to a decrease in depreciation expense attributable to the impairment charge recorded during the fourth quarter of 2025;</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 by a $0.3 million increase in personnel expenses mainly due to increased stock-based compensation costs, partially offset by a decrease in headcount resulting from the May and November 2025 workforce reductions;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$0.1 million increase in professional services.</w:t>
      </w:r>
    </w:p>
    <w:p>
      <w:pPr>
        <w:spacing w:after="0" w:line="22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$20.4 million for the nine months ended September 30, 2026, compared to $21.6 million for the nine months ended September 30, 2025. The decrease was primarily due to the following:</w:t>
      </w:r>
    </w:p>
    <w:p>
      <w:pPr>
        <w:spacing w:after="0" w:line="54"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 million decrease in other expenses, primarily due to a decrease in information technology expenses; and</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$0.6 million decrease in facilities expenses primarily due to a decrease in depreciation expense attributable to the impairment charge recorded during the fourth quarter of 2025;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$0.1 million decrease in professional services;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 by a $0.6 million increase in personnel expenses mainly due to increased stock-based compensation costs, partially offset by a decrease in headcount resulting from the May and November 2025 workforce reductions.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Restructuring charges for the nine months ended September 30, 2025 consisted of $1.2 million of employee termination benefits related to our workforce reduction in May 2025. We did not incur any restructuring charges for the three months ended September 30, 2025. During the year ended December 31, 2025, all activities related to our May 2025 workforce reduction were completed. We did not incur any restructuring charges for the three and nine months ended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other income, net was $1.2 million for the three months ended September 30, 2026 and 2025.</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Total other income, net was $3.4 million for the nine months ended September 30, 2026, compared to $4.2 million for the nine months ended September 30, 2025. The decrease of $0.9 million was primarily due to lower interest income generated from a lower cash, cash equivalents and marketable securities balance during the year prior to our $85.0 million March 2026 private placement, or the March 2026 PIPE, and fluctuations in foreign currency exchange rates.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generated recurring net losses. We have not yet commercialized any product and we do not expect to generate revenue from sales of any products for several years, if at all. Since inception, we have funded our operations primarily through proceeds from the issuance of convertible preferred stock and common stock. To date, we have raised approximately $501.0</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0" w:name="page31"/>
    <w:bookmarkEnd w:id="30"/>
    <w:p>
      <w:pPr>
        <w:ind w:right="60"/>
        <w:spacing w:after="0" w:line="282" w:lineRule="auto"/>
        <w:rPr>
          <w:sz w:val="20"/>
          <w:szCs w:val="20"/>
          <w:color w:val="auto"/>
        </w:rPr>
      </w:pPr>
      <w:r>
        <w:rPr>
          <w:rFonts w:ascii="Times New Roman" w:cs="Times New Roman" w:eastAsia="Times New Roman" w:hAnsi="Times New Roman"/>
          <w:sz w:val="18"/>
          <w:szCs w:val="18"/>
          <w:color w:val="auto"/>
        </w:rPr>
        <w:t>million of aggregate gross proceeds from sales of our equity securities. As of September 30, 2026, we had cash, cash equivalents and marketable securities of $124.8 million.</w:t>
      </w:r>
    </w:p>
    <w:p>
      <w:pPr>
        <w:spacing w:after="0" w:line="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and, as of September 30, 2026, had an accumulated deficit of $439.9 million. We expect to continue to incur significant expenses, operating losses, and negative operating cash flows for the foreseeable future. In addition, we have not yet commercialized any product and we do not expect to generate revenue from sales of any products for several years, if at all.</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December 2024, we entered into a sales agreement with TD Cowen Securities (USA) LLC, or TD Cowen, under which we may, from time to time, issue and sell shares of our common stock having aggregate sales proceeds of up to $100.0 million, in a series of one or more at-the-market equity, or ATM, offerings. In January 2026, we issued 501,861 shares of common stock under the ATM offering program for gross proceeds of $5.1 million.</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March 2026, we closed the March 2026 PIPE selling (i) an aggregate of 4,501,928 shares of our common stock at a purchase price of $11.11 per share and (ii) pre-funded warrants to acquire an aggregate 3,148,836 shares of our common stock (at an exercise price of $0.001 per share) at a purchase price of $11.109 per pre-funded warrant, which resulted in gross cash proceeds of approximately $85.0 million, before deducting placement agent fees and offering expenses of approximately $4.7 million.</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2026, we had cash, cash equivalents and marketable securities of $124.8 million. We expect that our cash, cash equivalents and marketable securities outstanding as of September 30, 2026 will be sufficient to fund our operating expenses and capital expenditure requirements into the second half of 2028. We have based this estimate on assumptions that may prove to be wrong, and we could expend our capital resources sooner than we expect. We may also pursue additional cash resources through public or private equity, collaborations or debt financings. There is no assurance that we will be successful in obtaining sufficient financing on acceptable terms to continue funding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expect to continue to incur significant expenses, operating losses, and negative operating cash flows for the foreseeable future as we continue our novel genetic medicine discovery efforts, advance our pipeline candidates into the clinic and through clinical trials, seek regulatory approval of our development candidates and pursue commercialization of any approved development candidates. In addition, we expect to continue to incur costs associated with operating as a public company.</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our development candidates, we are unable to estimate the exact amount of our working capital requirements.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right="1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preclinical development, laboratory testing, manufacturing and clinical trials for KRRO-121, KRRO-111, and other development candidates we may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continuing to build our OPERA platform and discover additional novel genetic medicines;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partner our programs, acquire or in-license other lead candidates, development candidates and technologies or enters into additional collaborations;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EMA and other regulatory authorities;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and royalty payments that we are required to make or eligible to receive under any future collaboration and license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headcount growth and associated costs, should we expand our research and development efforts;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potential intellectual property disputes, including patent infringement actions brought by third parties against us or any of our lead candidates or development candidates;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development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manufacturing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1" w:name="page32"/>
    <w:bookmarkEnd w:id="31"/>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to support our cost structure, we expect to finance our cash needs through a combination of equity offerings, debt financings, collaborations and other similar arrangements. To the extent that we raise additional capital through the sale of equity or convertible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development candidates or grant licenses on terms that may not be favorable to us and/or may reduce the value of our common shares. If we are unable to raise additional funds through equity or debt financings when needed, we may be required to delay, limit, reduce or terminate our product research and development or grant rights to develop and market our development candidates even if we would otherwise prefer to develop and market such development candidates ourselves.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2026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2026 and 2025:</w:t>
      </w:r>
    </w:p>
    <w:p>
      <w:pPr>
        <w:spacing w:after="0" w:line="246"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(46,003)</w:t>
            </w: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(60,859)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(21,881)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85,295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17,394</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(31,488)</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-25400</wp:posOffset>
            </wp:positionV>
            <wp:extent cx="514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514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596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596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$46.0 million for the nine months ended September 30, 2026, primarily resulting from our net loss of $56.1 million, which was primarily attributable to our research and development activities and our general and administrative expenses offset by $10.1 million of non-cash items.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$60.9 million for the nine months ended September 30, 2025, primarily resulting from our net loss of $67.2 million, which was primarily attributable to our research and development activities and our general and administrative expenses, along with changes in our operating assets and liabilities of $3.0 million, offset by $9.3 million of non-cash items.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Provided by Investing Activities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$21.9 million for the nine months ended September 30, 2026 and consisted of the purchase of marketable securities and the purchase of property and equipment, offset by proceeds from maturities of marketable securities.</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$29.1 million for the nine months ended September 30, 2025 and consisted primarily of the proceeds from maturities of marketable securities, offset by purchase of marketable securities and the purchase of property and equipment.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$85.3 million for the nine months ended September 30, 2026 and consisted of net proceeds from the March 2026 PIPE, sales of shares under our ATM program, and exercises of stock options.</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$0.3 million for the nine months ended September 30, 2025 and consisted of proceeds from exercises of stock options.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generally accepted accounting principles in the United States. The preparation of these consolidated financial statements requires us to make judgments and estimates that affect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line="255" w:lineRule="auto"/>
        <w:rPr>
          <w:sz w:val="20"/>
          <w:szCs w:val="20"/>
          <w:color w:val="auto"/>
        </w:rPr>
      </w:pPr>
      <w:r>
        <w:rPr>
          <w:rFonts w:ascii="Times New Roman" w:cs="Times New Roman" w:eastAsia="Times New Roman" w:hAnsi="Times New Roman"/>
          <w:sz w:val="18"/>
          <w:szCs w:val="18"/>
          <w:color w:val="auto"/>
        </w:rPr>
        <w:t>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On an ongoing basis, we evaluate our judgments and estimate in light of changes in circumstances, facts, and experience. The effects of material revisions in estimates, if any, will be reflected in the consolidated financial statements prospectively from the date of change in estimates. See the 2025 10-K for more information about our critical accounting policies as well as a description of our other significant accounting policies.</w:t>
      </w:r>
    </w:p>
    <w:p>
      <w:pPr>
        <w:spacing w:after="0" w:line="79" w:lineRule="exact"/>
        <w:rPr>
          <w:sz w:val="20"/>
          <w:szCs w:val="20"/>
          <w:color w:val="auto"/>
        </w:rPr>
      </w:pPr>
    </w:p>
    <w:p>
      <w:pPr>
        <w:ind w:right="3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critical accounting estimates from those described in Part II, Item 7.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w:t>
      </w:r>
      <w:r>
        <w:rPr>
          <w:rFonts w:ascii="Times New Roman" w:cs="Times New Roman" w:eastAsia="Times New Roman" w:hAnsi="Times New Roman"/>
          <w:sz w:val="18"/>
          <w:szCs w:val="18"/>
          <w:color w:val="auto"/>
        </w:rPr>
        <w:t>included in the 2025 10-K.</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and recently adopted accounting pronouncements applicable to our financial position and results of operations is included in Note 2 to our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2026, we had cash, cash equivalents and marketable securities of $124.8 million, which consist of bank deposits, money market funds and U.S. Treasury and other government-backed securities. Interest income is sensitive to changes in the general level of interest rates; however, due to the nature of these investments, an immediate 10% change in market interest rates would not have a material effect on the fair market value of our cash or cash equivalents.</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benefits of possible controls and procedures relative to their costs.</w:t>
      </w:r>
    </w:p>
    <w:p>
      <w:pPr>
        <w:spacing w:after="0" w:line="84"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who serves as our principal executive officer and principal financial officer, has evaluated the effectiveness of our disclosure controls and procedures as of September 30, 2026. Based on such evaluation, our Chief Executive Officer has concluded that our disclosure controls and procedures were effective at the reasonable assurance level as of September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40" w:firstLine="509"/>
        <w:spacing w:after="0" w:line="312"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Rules 13a-15(f) and 15d-15(f) under the Exchange Act) occurred during our most recently completed fiscal quarter that has materially affected, or is reasonably likely to materially affect, our internal control over financial reporting.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this Quarterly Report,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and uncertainties described below, together with all of the other information in this Quarterly Report and in our other filings with the Securities and Exchange Commission, or SEC. We operate in a dynamic and rapidly changing industry that involves numerous risks and uncertainties. The risks and uncertainties described below are not the only ones we face. Other risks and uncertainties, including those that we do not currently consider material, may impair our business. If any of the risks discussed below actually occur, our business, financial condition, operating results or cash flows could be materially adversely affected. This Quarterly Report also contains forward-looking statements that involve risks and uncertainties. Our actual results could differ materially from those anticipated in these forward-looking statements as a result of certain factors, including the risks we face as described below and elsewhere in this Quarterly Report. See “Cautionary Statement Regarding Forward 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expect to incur losses for the foreseeable future and may never achieve or maintain profitability.</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$56.1 million and $67.2 million for the nine months ended September 30, 2026 and 2025, respectively. As of September 30, 2026, we had an accumulated deficit of $439.9 million. We have financed our operations primarily through private placements of our convertible preferred stock and common stock, and sales under our ATM offering program. Substantially all of our losses have resulted from expenses incurred in connection with our research and development and from general and administrative costs associated with our operations, and recently, a $30.9 million impairment charge in the fourth quarter of 2025 related to our operating lease right-of-use asset and fixed assets. We expect to continue to incur significant expenses, increasing operating losses, and negative operating cash flows for the foreseeable future. The net losses we incur may fluctuate significantly from quarter to quarter. We anticipate that our expenses will increase substantially if and as we:</w:t>
      </w:r>
    </w:p>
    <w:p>
      <w:pPr>
        <w:spacing w:after="0" w:line="81" w:lineRule="exact"/>
        <w:rPr>
          <w:sz w:val="20"/>
          <w:szCs w:val="20"/>
          <w:color w:val="auto"/>
        </w:rPr>
      </w:pPr>
    </w:p>
    <w:p>
      <w:pPr>
        <w:ind w:left="1020" w:right="6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KRRO-121 through our ongoing global two-part Phase 1/2 clinical trial program, or ANCHOR, and any subsequent clinical development, and advance KRRO-111 into and through clinical development;</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current research programs and preclinical and clinical development of any lead candidates or development candidates we may identify;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lead candidates, and nominate development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OPERA, our RNA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development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and enhance a sustainable, scalable, reproducible and transferable manufacturing process for the candidates we may develop;</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products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as we grow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lead candidates, development candidates, intellectual property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collaborations;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we decide to do so, build and maintain a commercial-scale current good manufacturing practices, or cGMP, manufacturing facility;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We expect that it will be many years, if ever, before we have an RNA editing product ready for commercialization. To become and remain profitable, we must develop and, either directly or through collaborators, eventually commercialize a product or products with market potential. This will require us to be successful in a range of challenging activities, including identifying lead candidates, completing preclinical studies and clinical trials of development candidates, obtaining marketing approval for these development candidates, manufacturing, marketing and selling those products for which we may obtain marketing approval and satisfying any post-marketing requirements. We may never succeed in these activities and, even if we are, may never generate revenues that are significant or large enough to achieve profitability.</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November 2025, we announced that we did not reach projected levels of protein in patients in our Phase 1/2a REWRITE clinical trial of KRRO-110 for AATD (which we subsequently terminated). KRRO-121 only recently entered clinical development, and our other programs, including KRRO-111, are in preclinical or earlier stages of development. In addition, we undertook workforce reductions in May 2025 and November 2025, and in the fourth quarter of 2025, as a result of identified indicators of impairment for our long-lived assets, primarily including our operating lease right-of-use, or ROU, asset, and property and equipment, we recognized a non-cash, long-lived asset impairment charge of $30.9 million. Because of the numerous risks and uncertainties associated with developing lead candidates and development candidates, and the risks associated with conducting preclinical studies and clinical trials,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business or continue our operations. A decline in our value could also cause you to lose all or part of your investment. Further, we may not even experience the expected benefits of our May 2025 and November 2025 workforce reductions or our decision to discontinue clinical development of KRRO-110. Further, the long-lived asset impairment charges recognized may affect how investors, analysts, and counterparties assess our financial position and prospects, potentially making it more difficult or expensive to raise capital or enter into collaborations on favorable terms.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become profitable.</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candidates we may identify for development. We do not anticipate generating revenues from product sales for many years, if ever. Our ability to generate future revenues from product sales depends heavily on our, or our collaborators’, ability to successfully:</w:t>
      </w:r>
    </w:p>
    <w:p>
      <w:pPr>
        <w:spacing w:after="0" w:line="72"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lead candidates and successfully complete research and development of such lead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regulatory and marketing approvals for any development candidates for which we complete clinical trials;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commercialize any development candidates for which we may obtain regulatory and marketing approval by establishing a sales force, marketing and distribution infrastructure, or alternatively, collaborating with a commercialization partner;</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for adequate coverage and reimbursement by government and third-party payors for any development candidates for which we may obtain regulatory and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that can provide adequate, in both amount and quality, products and services to support clinical development and the market demand for any development candidates for which we obtain regulatory and marketing approval;</w:t>
      </w:r>
    </w:p>
    <w:p>
      <w:pPr>
        <w:spacing w:after="0" w:line="6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and enhance a sustainable, scalable, reproducible and transferable manufacturing process for the candidates we may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favorable terms in any existing or future collaboration, licensing or other arrangements and perform our obligations in such collaborations;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market acceptance by physicians, patients, healthcare payors, and others in the medical community;</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enforce, defend and expand our portfolio of intellectual property and other proprietary rights, including patents, trade secrets and know-how;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third party intellectual property claims of infringement, misappropriation or other violation;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top talent and retain qualified personnel.</w:t>
      </w:r>
    </w:p>
    <w:p>
      <w:pPr>
        <w:spacing w:after="0" w:line="22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expenses could increase beyond expectations if we are required by the FDA, the EMA, a Human Research Ethics Committee in Australia, or HREC, the Australian Therapeutic Goods Administration, or TGA, or other regulatory authorities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spacing w:after="0" w:line="258" w:lineRule="auto"/>
        <w:rPr>
          <w:sz w:val="20"/>
          <w:szCs w:val="20"/>
          <w:color w:val="auto"/>
        </w:rPr>
      </w:pPr>
      <w:r>
        <w:rPr>
          <w:rFonts w:ascii="Times New Roman" w:cs="Times New Roman" w:eastAsia="Times New Roman" w:hAnsi="Times New Roman"/>
          <w:sz w:val="18"/>
          <w:szCs w:val="18"/>
          <w:color w:val="auto"/>
        </w:rPr>
        <w:t>perform clinical and other studies in addition to those that we currently anticipate. Even if one or more of the candidates we may develop are approved for commercial sale, we anticipate incurring significant costs associated with commercializing any approved development candidate. Additionally, such products may become subject to unfavorable pricing regulations, third-party reimbursement practices or healthcare reform initiatives. Even if we are able to generate revenues from the sale of any approved development candidates, we may not become profitable and may need to obtain additional funding to continue operations.</w:t>
      </w:r>
    </w:p>
    <w:p>
      <w:pPr>
        <w:spacing w:after="0" w:line="28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will be forced to delay, reduce, eliminate or prioritize among our research and development programs or future commercialization efforts.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expect our expenses to continue to increase in connection with our ongoing activities, particularly as we identify, continue the research and development of, initiate preclinical studies and clinical trials of, and seek marketing approval for, our lead candidates and development candidates. Because we have limited financial and managerial resources, we have prioritized our research programs and REO optimization efforts in specific indications among many potential options. Specifically, our initial development programs target liver and central nervous systems indications, amongst others. As a result of this prioritization, we may forego or delay pursuit of opportunities with other lead candidates or development candidates or for other indications that later prove to have greater clinical or commercial potential and we have in the past reprioritized, and may need to further reprioritize, our focus. Our resource allocation decisions may cause us to fail to capitalize on viable commercial products or profitable market opportunities. For example, KRRO-110, which used an LNP delivery system, did not reach projected levels of protein in patients in our now terminated Phase 1/2a REWRITE clinical trial for AATD and we have since transitioned to a GalNAc-conjugated delivery system for our AATD program and are now developing KRRO-111, a GalNAc-conjugated REO for AATD. Our spending on current and future research and development programs, lead candidates, and development candidates for specific indications may not yield any commercially viable products.</w:t>
      </w:r>
    </w:p>
    <w:p>
      <w:pPr>
        <w:spacing w:after="0" w:line="8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addition, if we obtain marketing approval for any candidates we may develop, we expect to incur significant commercialization expenses related to product sales, marketing, manufacturing and distribution to the extent that such sales, marketing, manufacturing and distribution are not the responsibility of a collaborator.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product development programs or future commercialization efforts.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As of September 30, 2026, our cash, cash equivalents and marketable securities were $124.8 million, excluding restricted cash, or $127.2 million, including restricted cash. We believe our existing cash, cash equivalents and marketable securities will be sufficient to fund our operating expenses and capital expenditure requirements through several value-creating milestones and into the second half of 2028. However, our operating plan may change as a result of factors currently unknown, and expectations regarding our cash runway and ability to reach data inflection points are based on numerous assumptions that may prove to be untrue. As a result, we may be required to raise capital sooner than anticipated and our exposure to certain contingent liabilities and contractual obligations may be greater than anticipated. Our future capital requirements will depend on many other factors, including those discussed in the risk factor entitled </w:t>
      </w:r>
      <w:r>
        <w:rPr>
          <w:rFonts w:ascii="Times New Roman" w:cs="Times New Roman" w:eastAsia="Times New Roman" w:hAnsi="Times New Roman"/>
          <w:sz w:val="18"/>
          <w:szCs w:val="18"/>
          <w:i w:val="1"/>
          <w:iCs w:val="1"/>
          <w:color w:val="auto"/>
        </w:rPr>
        <w:t>“We have incurred significant losses since inception. We expect to incur losses for the foreseeable future and may never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achieve or maintain profitability.”</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any development candidates. We cannot be certain that additional funding will be available on acceptable terms or at all. Although we have an effective shelf registration statement and an at-the-market offering program, we have no committed source of additional capital. If we are unable to raise additional capital in sufficient amounts or on terms acceptable to us, we may have to significantly delay, scale back or discontinue the development or commercialization of any development candidates or other research and development initiatives. We could be required to seek collaborators for potential lead candidates earlier than we would otherwise plan or on terms that are less favorable than might otherwise be available. We could also be required to relinquish or license our rights to lead candidates on unfavorable terms in certain markets where we otherwise would seek to pursue development or commercialization ourselves.</w:t>
      </w:r>
    </w:p>
    <w:p>
      <w:pPr>
        <w:spacing w:after="0" w:line="29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and may continue to experience, delays in developing a potential treatment for AATD. We have not completed any clinical trial of any of our development candidates and any favorable results we may have from our earlier preclinical studies, including those of KRRO-121 and KRRO-111, may not be predictive of results that may be observed in later preclinical studies or clinical trials.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scientific evidence to support the feasibility of developing development candidates using our proprietary RNA editing technology is both preliminary and limited. We dosed very few participants in our now terminated Phase 1/2a REWRITE clinical trial of KRRO-110 for AATD. Although we observed functional protein in AATD patients following a single administration of KRRO-110, we did not reach projected levels of protein in patients as of the data cut off date. We have not completed any clinical trials for any of our proposed delivery methods or RNA editing approaches, and we have transitioned from LNP to GalNAc-conjugated delivery for KRRO-111, our REO for our AATD program. Accordingly, we have experienced, and may continue to experience, delays in developing a potential treatment for AATD. KRRO-121 has been administered to only a limited number of healthy volunteers,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7" w:name="page38"/>
    <w:bookmarkEnd w:id="37"/>
    <w:p>
      <w:pPr>
        <w:ind w:right="120"/>
        <w:spacing w:after="0" w:line="256" w:lineRule="auto"/>
        <w:rPr>
          <w:sz w:val="20"/>
          <w:szCs w:val="20"/>
          <w:color w:val="auto"/>
        </w:rPr>
      </w:pPr>
      <w:r>
        <w:rPr>
          <w:rFonts w:ascii="Times New Roman" w:cs="Times New Roman" w:eastAsia="Times New Roman" w:hAnsi="Times New Roman"/>
          <w:sz w:val="18"/>
          <w:szCs w:val="18"/>
          <w:color w:val="auto"/>
        </w:rPr>
        <w:t>we have not yet generated clinical data sufficient to evaluate its safety, tolerability, pharmacokinetics, or PK, or clinical activity. In the future, we may use other delivery modalities to deliver our other lead candidates. While LNPs have been validated clinically to deliver oligonucleotides, such as siRNA, they were not clinically proven to deliver oligonucleotides for RNA editing, such as KRRO-110 and our other lead candidates. Similarly, while GalNAc-conjugated delivery has been validated in multiple FDA-approved oligonucleotide therapeutics, there are no FDA-approved GalNAc-conjugated REO therapeutics. Both of our most advanced programs, KRRO-121 and KRRO-111, utilize GalNAc-conjugated delivery. If GalNAc-conjugated delivery fails to effectively deliver our REOs, multiple programs in our pipeline could be adversely affected.</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Although KRRO-121 differs from KRRO-110 in its delivery approach (GalNAc conjugation rather than LNP), its intended mechanism (generating a stabilized, de novo GS protein rather than repairing a pathogenic variant) and its target indications, KRRO-110 is the only development candidate generated from our OPERA platform for which we have reported clinical data. Those data showed that, despite our preclinical results, the levels of protein achieved in patients were lower than we had projected. There is a risk that editing efficiency and protein levels observed in cell-based assays and animal models may not translate to humans. We cannot assure you that KRRO-121, KRRO-111 or our other development candidates will not encounter similar or other translational challenges. Because the KRRO-110 data reflect a different delivery approach and mechanism, they provide limited information regarding the potential safety or activity of KRRO-121 in humans.</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our proprietary RNA editing technology itself may lead to other issues, such as inability to deliver the desired efficacy or safety-related consequences as it is tested in clinical trials. The design of a clinical trial can determine whether its results will support approval of a development candidate and flaws in the design of a clinical trial may not become apparent until the clinical trial is well advanced. Furthermore, preclinical and clinical data are often susceptible to varying interpretations and analyses, and many companies that have believed their development candidates performed satisfactorily in preclinical studies and clinical trials have nonetheless failed to obtain marketing approval of their development candidates. Many lead candidates that initially showed promise in early stage testing for treating a variety of diseases have later been found to lack efficacy or to cause side effects that prevented further clinical development. Accordingly, any favorable results we may have from our earlier preclinical studies may not be predictive of results that may be observed in further preclinical studies or clinical trials.</w:t>
      </w:r>
    </w:p>
    <w:p>
      <w:pPr>
        <w:spacing w:after="0" w:line="29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preclinical studies or clinical trials of any lead candidate or development candidate we may identify fail to demonstrate safety and efficacy to the satisfaction of regulatory authorities or do not otherwise produce positive results, we may incur additional costs or experience delays in completing, or ultimately be unable to complete, the development and commercialization of such development candidate.</w:t>
      </w:r>
    </w:p>
    <w:p>
      <w:pPr>
        <w:spacing w:after="0" w:line="6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development candidates we may identify and develop, we must complete preclinical development and then conduct extensive clinical trials to demonstrate safety and efficacy in humans. Clinical testing is expensive, difficult to design and implement, can take many years to complete, and the outcome is uncertain. A failure of one or more clinical trials can occur at any stage of development. The outcome of preclinical testing and early clinical trials may not be predictive of the success of later clinical trials, and interim results of a clinical trial do not necessarily predict final results.</w:t>
      </w:r>
    </w:p>
    <w:p>
      <w:pPr>
        <w:spacing w:after="0" w:line="7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Many companies that have believed their lead candidates or development candidates performed satisfactorily in preclinical studies and clinical trials have nonetheless failed, preventing marketing approval of their development candidates. For example, despite our preclinical data, we did not reach projected levels of protein in AATD patients in our REWRITE Phase 1/2a clinical trial.</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and our collaborators, if any, may experience numerous unforeseen events during, or as a result of, clinical trials that could delay or prevent our ability to receive marketing approval or commercialize any development candidates we may identify and develop, including:</w:t>
      </w:r>
    </w:p>
    <w:p>
      <w:pPr>
        <w:spacing w:after="0" w:line="5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regulators on trial design;</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or IRBs, or independent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clinical trial contracts or clinical trial protocols with prospective CROs and clinical trial sites;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development candidates we may develop may produce negative or inconclusive results, and we may decide, or regulators may require us, to conduct additional clinical trials or abandon product development or research programs;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designing well-controlled clinical trials due to ethical considerations that may render it inappropriate to conduct a trial with a control arm that can be effectively compared to a treatment arm;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designing clinical trials and selecting endpoints for diseases that have not been well-studied and for which the natural history and course of the disease is poorly understood;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may be larger than we anticipate; enrollment of suitable participants in these clinical trials, which may be particularly challenging for some of the rare genetically defined diseases such as UCD, may be delayed or slower than we anticipate; or patients may drop out of these clinical trials at a higher rate than we anticipate;</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independent ethics committees may require that we or our investigators suspend or terminate clinical research or clinical trials of any development candidates we may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any development candidates may be greater than we anticipate;</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any development candidates or other materials necessary to conduct clinical trials of any development candidates may be insufficient or inadequate, including as a result of delays in the testing, validation, manufacturing, and delivery of any development candidates to the clinical sites by us or by third parties with whom we have contracted to perform certain of those functions;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any development candidates that are viewed to outweigh their potential benefits;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sponsors;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1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If we or our collaborators are required to conduct additional clinical trials or other testing of any development candidates beyond those that we currently contemplate, if we or our collaborators are unable to successfully complete clinical trials or other testing of any development candidates, or if the results of these trials or tests are not positive or are only modestly positive or if there are safety concerns, we or our collaborators may:</w:t>
      </w:r>
    </w:p>
    <w:p>
      <w:pPr>
        <w:spacing w:after="0" w:line="68"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any such development candidates or not obtain marketing approval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choose to, or be required to, revise or transition strategy for our development candidates or protocols;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our distribution in the form of a REMS or through modification to an existing REMS;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11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Product development costs will also increase if we or our collaborators experience delays in clinical trials or other testing or in obtaining marketing approvals. We do not know whether ANCHOR or any other any clinical trials will begin or proceed as planned, will need to be restructured, or will be completed on schedule, or at all. Significant clinical trial delays also could shorten any periods during which we may have the exclusive right to commercialize any development candidates we may develop, could allow our competitors to bring products to market before we do, and could impair our ability to successfully commercialize any development candidates we may develop, any of which may harm our business, financial condition, results of operations, and prospects.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9" w:name="page40"/>
    <w:bookmarkEnd w:id="39"/>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substantially dependent on the success of KRRO-121, our lead development candidate, and if KRRO-121 fails to advance successfully, our business would be materially and adversely affected.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concentrated a significant portion of our current resources and efforts on the advancement of KRRO-121, our lead development candidate for the treatment of hyperammonemia, including UCD and HE. KRRO-121 utilizes GalNAc-conjugated delivery and is designed to generate a stabilized, de novo variant of GS with enhanced ammonia clearance capacity. KRRO-121 has been administered to only a limited number of healthy volunteers and has not been administered to any patient with UCD or HE. There can be no assurance that KRRO-121 will demonstrate safety or efficacy in humans, that we will obtain the regulatory and ethics approvals necessary to initiate Part 2 of ANCHOR or any other clinical trial of KRRO-121, including in HE, or that we will be able to enroll, conduct and complete ANCHOR or report data on our anticipated timelines. If KRRO-121 fails to demonstrate safety or efficacy, or if we experience significant delays in its clinical development, our business, financial condition, results of operations and prospects would be materially and adversely affected. Following the termination of our REWRITE clinical program investigating KRRO-110 for AATD, we only recently nominated KRRO-111, our GalNAc-conjugated REO for AATD, which is in preclinical development, including ongoing GLP toxicology studies. Our other programs, including our longevity and liver health program targeting AMPKγ1, and our ALS program targeting TDP-43, are in earlier stages of preclinical development and may not advance to clinical development on a timely basis, or at all.</w:t>
      </w:r>
    </w:p>
    <w:p>
      <w:pPr>
        <w:spacing w:after="0" w:line="29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ANCHOR is the first clinical trial of KRRO-121 and of any development candidate designed to generate a de novo protein using our OPERA platform. The design of ANCHOR, including its initial evaluation of KRRO-121 in healthy volunteers and its planned evaluation in a small number of patients with UCD, may not generate data sufficient to support further development of, or regulatory approval for, KRRO-121.</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Part 1 of ANCHOR trial of KRRO-121 is a first-in-human trial in healthy volunteers. Because healthy volunteers do not have hyperammonemia, Part 1 is not expected to provide meaningful information about whether KRRO-121 can lower ammonia levels in patients. In addition, the safety, tolerability and PK profile of KRRO-121 observed in healthy volunteers may not be representative of its profile in patients with UCD, who may be receiving nitrogen scavengers and other therapies and adhering to protein-restricted diets, or in patients with HE, who generally have cirrhosis and impaired liver function. If the data from Part 1 do not support the selection of an appropriate dose or dosing regimen, or if dose escalation must be slowed, modified or stopped because of safety findings or PK results, the initiation of Part 2 could be delayed or we may need to modify our development plans for KRRO-121.</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Part 2 of ANCHOR is designed to enroll patients with UCD across UCD genotypes who will remain on their background standard of care. The small number of patients, the absence of a control arm and the genetic and clinical heterogeneity of UCD may make the results of Part 2 difficult to interpret, and favorable results in some UCD subtypes may not be observed in others. Measures of clinical activity in UCD, such as plasma ammonia levels, can fluctuate substantially as a result of diet, intercurrent illness, adherence to background therapy and other factors unrelated to treatment. Although we believe our preclinical data support the potential for KRRO-121 to be a treatment for UCD of any mutational background and to enable diet liberalization, reduce dependence on nitrogen scavengers and lower the risk of hyperammonemic crises, or HACs, none of these potential benefits has been evaluated in humans, and ANCHOR is not designed to establish them. Even if the results of ANCHOR are favorable, the FDA or comparable foreign regulatory authorities may not agree that they are sufficient to support the initiation of a pivotal trial, may require additional or larger clinical trials, including randomized, controlled trials, or may require clinical outcome endpoints, any of which would make the development of KRRO-121 longer and more costly than we anticipate.</w:t>
      </w:r>
    </w:p>
    <w:p>
      <w:pPr>
        <w:spacing w:after="0" w:line="29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initiated any clinical trial of KRRO-121 in patients with HE, and the development and regulatory pathway for KRRO-121 in HE is uncertain and is likely to require larger, longer and more costly clinical trials than in UCD.</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Although we believe KRRO-121 has the potential to enhance ammonia control in patients with HE, ANCHOR does not include patients with HE, and we have not yet sought regulatory approval to initiate a clinical trial of KRRO-121 in HE. HE is a complication of advanced liver disease, most commonly cirrhosis, and patients with HE typically have significant comorbidities and impaired hepatic function, which may affect the safety, tolerability, PK and activity of KRRO-121 in this population. In particular, KRRO-121 relies on GalNAc-mediated uptake into hepatocytes through the asialoglycoprotein receptor, and the expression or function of this receptor, and the number of functional hepatocytes, may be reduced in patients with advanced liver disease, which could reduce the delivery or activity of KRRO-121 in patients with HE. Regulatory authorities may require us to conduct additional studies, such as studies in subjects with hepatic impairment, before or in connection with any clinical trial in HE. In addition, unlike UCD, HE affects a substantially larger patient population, may not qualify for orphan drug designation, and is treated with established therapies. As a result, we expect that any registrational program for KRRO-121 in HE would require larger, longer and more costly clinical trials than a program in UCD, potentially including trials designed to demonstrate a reduction in HE episodes or hospitalizations. We may not have sufficient resources to conduct such trials without a collaborator, and we may be unable to enter into a collaboration on acceptable terms or at all. Any of these factors could delay or prevent the development of KRRO-121 for HE, which would limit its commercial potential.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0" w:name="page41"/>
    <w:bookmarkEnd w:id="40"/>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or other delays in our clinical trials, our receipt of necessary regulatory approvals could be delayed or prevented.</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Clinical trials of a new development candidate require the enrollment of a sufficient number of patients, including patients who are suffering from the disease the development candidate is intended to treat and who meet other eligibility criteria. Rates of patient enrollment are affected by many factors, including the stage and severity of disease, the nature and requirements of the protocol, the proximity of patients to clinical sites, the availability of effective treatments for the relevant disease, and the eligibility criteria for the clinical trial, possible adverse effects from treatments, the existence of competing clinical trials, the involvement of patient advocacy groups, the availability of new or alternative treatments, lack of efficacy, personnel issues and ease of participation in our clinical trials, among others. Clinical trials can also be impacted by other events unrelated to our business, such as geopolitical events and unrest, such as recent hostilities involving Iran, global pandemics, or economic uncertainty, including imposition of tariffs that impact the supply chain, or disruptions due to government shutdowns, which can impact regulatory reviews. In April 2025, the United States imposed tariffs on imports on its trading partners and tariff policy (and trading partners subject to such tariffs) has continued to evolve. Historically, tariffs have led to increased costs, political and trade tensions, which negatively affect global supply chains. These types of events can disrupt clinical trial sites and delay patient enrollment, all of which would have a negative impact on our business and ability to obtain regulatory approval.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These risks are heightened for Part 2 of ANCHOR and any future clinical trials of KRRO-121 in UCD. UCDs are rare diseases, and the number of patients who meet the eligibility criteria for our trials is limited. Patients with UCD are managed at specialized metabolic centers, which may limit the number of clinical trial sites with access to eligible patients. Patients with UCD may also be geographically dispersed and may be eligible to participate in clinical trials of other investigational therapies for UCD. Patients whose disease is managed with existing therapies and dietary restrictions, and their physicians, may be reluctant to enroll in a trial of a novel investigational therapy, and the requirement that patients remain on stable background therapy, or other eligibility criteria, may further limit the pool of eligible patients. We will also need to activate clinical trial sites with access to patients with UCD, and obtain the required regulatory and ethics approvals for those sites. If we are unable to enroll a sufficient number of patients with UCD in a timely manner, the initiation or completion of Part 2 of ANCHOR, and our anticipated interim clinical readout in the second half of 2027, could be delayed.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Discovery, Development and Commercialization</w:t>
      </w:r>
    </w:p>
    <w:p>
      <w:pPr>
        <w:spacing w:after="0" w:line="1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gene editing field and RNA editing in particular is relatively new and is evolving rapidly. We are very early in our development efforts and may not be successful in identifying and developing any candidates. It will be many years before we or our collaborators commercialize a development candidate or generate any revenues, if ever. Additionally, other genetic medicine technologies may be discovered that provide significant advantages over RNA editing, which could materially harm our business.</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develop and commercialize development candidates. We are very early in our development efforts and have focused our research and development efforts to date on developing OPERA, our RNA editing platform, and identifying our initial targeted disease indications. We currently only have two nominated development candidates in our pipeline, KRRO-121, which only recently entered clinical development, and KRRO-111, which is in preclinical development, as we terminated further development of KRRO-110 after it failed to reach projected levels of protein in our first in-human clinical trial. Although we believe we can demonstrate many of the key advantages of RNA editing, because we are very early in our development efforts, we are not yet certain of the results we may achieve, which may be important for registration and commercialization of any candidates we successfully develop. Such uncertainties include, but are not limited to, the level of editing efficiency needed in a target tissue type to achieve a clinical benefit, and associated safety of our edits in humans. We have also not yet shown that preclinical editing activity can result in clinically important effects, nor that the data generated by our preclinical studies can translate into positive results in clinical trials.</w:t>
      </w:r>
    </w:p>
    <w:p>
      <w:pPr>
        <w:spacing w:after="0" w:line="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Other than KRRO-121, which is in Part 1 of ANCHOR, all of our product development programs are still in the research or preclinical stage of development. Our research methodology may be unsuccessful in identifying lead candidates, our development candidates may be shown to have harmful side effects in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experiments or animal model studies, they may not show promising signals of therapeutic effect in such experiments or studies or they may have other characteristics that may make the development candidates impractical to manufacture, unmarketable, or unlikely to receive marketing approval.</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pharmacological properties ascribed to the lead candidates we are testing in preclinical studies may not be positively demonstrated in clinical trials in patients, and they may interact with human biological systems in unforeseen, ineffective or harmful ways (for example, KRRO-110 did not achieve projected levels of protein in patients in our REWRITE Phase 1/2a clinical trial). If our development candidates prove to be ineffective, unsafe or commercially unviable, OPERA and our pipeline would have little, if any, value, which would substantially harm our business, financial condition, results of operations and prospects. In addition, our approach, which focuses on using oligonucleotides for drug development, as opposed to multiple or other, more advanced proven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1" w:name="page42"/>
    <w:bookmarkEnd w:id="41"/>
    <w:p>
      <w:pPr>
        <w:ind w:right="120"/>
        <w:spacing w:after="0" w:line="258" w:lineRule="auto"/>
        <w:rPr>
          <w:sz w:val="20"/>
          <w:szCs w:val="20"/>
          <w:color w:val="auto"/>
        </w:rPr>
      </w:pPr>
      <w:r>
        <w:rPr>
          <w:rFonts w:ascii="Times New Roman" w:cs="Times New Roman" w:eastAsia="Times New Roman" w:hAnsi="Times New Roman"/>
          <w:sz w:val="18"/>
          <w:szCs w:val="18"/>
          <w:color w:val="auto"/>
        </w:rPr>
        <w:t>technologies, and new products and technologies that may enter the market, may expose us to additional financial risks and make it more difficult to raise additional capital if we are not successful in developing one or more development candidates that receive regulatory approval. Our ability to generate product revenue, which we do not expect will occur for many years, if ever, will depend heavily on the successful development and eventual commercialization of any development candidates we may discover, which may never occur. We currently generate no revenue from sales of any product, and we may never be able to develop or commercialize a marketable product.</w:t>
      </w:r>
    </w:p>
    <w:p>
      <w:pPr>
        <w:spacing w:after="0" w:line="7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addition, although we believe OPERA, our RNA editing platform, will position us to expand our portfolio of development candidates beyond the initial candidates we may develop, we have not yet successfully developed any candidate and our ability to expand our portfolio may never materialize.</w:t>
      </w:r>
    </w:p>
    <w:p>
      <w:pPr>
        <w:spacing w:after="0" w:line="266"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RNA editing is a novel technology with limited clinical validation for human therapeutic use. The approaches we take to discover and develop novel therapeutics, including the oligonucleotide chemistries we use in our REOs, are unproven , may result in unexpected clinical outcomes or manufacturing challenges and may never lead to marketable products.</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focused on developing products based on RNA editing. Although there have been significant advances in the field of gene editing in recent years, RNA editing technologies are new and largely unproven. The technologies that we have developed have not yet completed clinical development. The scientific evidence to support the feasibility of developing development candidates based on these technologies is both preliminary and limited. Successful development of development candidates by us will require solving a number of issues, including optimizing the efficiency and specificity of such development candidates, and ensuring the therapeutic selectivity of such development candidates. There can be no assurance we will be successful in solving any or all of these issues.</w:t>
      </w:r>
    </w:p>
    <w:p>
      <w:pPr>
        <w:spacing w:after="0" w:line="7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REOs we design using OPERA incorporate chemical modifications, including chemistries that have been used in other classes of oligonucleotide therapeutics, such as antisense oligonucleotides, or ASOs, and siRNA, as well as novel chemistries that we have developed through OPERA. The chemistries used in ASOs and siRNAs were developed and characterized for mechanisms of action that differ from that of our REOs, which are designed to bind to target RNA and recruit endogenous ADAR enzymes to edit that RNA, and there is limited experience with the use of these chemistries in RNA editing oligonucleotides. As a result, the safety, tolerability, PK, activity and other characteristics observed with these chemistries in ASOs, siRNAs or other oligonucleotide therapeutics may not be predictive of how they will perform in our REOs, and their use in our REOs may result in unexpected clinical outcomes. The novel chemistries we have developed through OPERA have limited or no history of use in humans and may likewise result in unexpected clinical outcomes, some of which may not become apparent until our REOs are administered to larger numbers of patients or for longer periods of time. Unexpected clinical outcomes associated with either type of chemistry could include lower than anticipated editing efficiency or durability, unintended editing, immunogenicity or other adverse effects, and could require us to modify or redesign our REOs, conduct additional preclinical studies or clinical trials, or discontinue development of one or more development candidates. In addition, because the same or similar chemistries may be used across multiple REOs, an adverse finding associated with a chemistry used in one development candidate could adversely affect our other development candidates and OPERA more broadly.</w:t>
      </w:r>
    </w:p>
    <w:p>
      <w:pPr>
        <w:spacing w:after="0" w:line="7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chemistries used in our REOs may also complicate their manufacture. Synthesis, purification and analytical methods that have been established for ASOs and siRNAs may not be directly transferable to REOs that incorporate those chemistries, and established methods may not exist for the novel chemistries we have developed through OPERA. As a result, we or our CMOs may need to develop new or modified processes and analytical methods to manufacture and characterize our REOs and to identify and control impurities, and certain raw materials may be available only from a limited number of suppliers or may need to be custom synthesized. These factors could increase our manufacturing costs, make it more difficult to scale up manufacturing, establish specifications acceptable to regulatory authorities or demonstrate comparability following changes to our manufacturing processes, and could delay our preclinical studies and clinical trials. For additional information, see the risk factor entitled </w:t>
      </w:r>
      <w:r>
        <w:rPr>
          <w:rFonts w:ascii="Times New Roman" w:cs="Times New Roman" w:eastAsia="Times New Roman" w:hAnsi="Times New Roman"/>
          <w:sz w:val="18"/>
          <w:szCs w:val="18"/>
          <w:i w:val="1"/>
          <w:iCs w:val="1"/>
          <w:color w:val="auto"/>
        </w:rPr>
        <w:t>“The process of manufacturing oligonucleotides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complex and we may encounter difficulties in production, particularly with respect to process development or scaling-up of our manufacturing capabilities.”</w:t>
      </w:r>
    </w:p>
    <w:p>
      <w:pPr>
        <w:spacing w:after="0" w:line="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Until recently, we concentrated our research efforts primarily on preclinical work to bring therapeutics to the clinic for our initial indications, and our future success is highly dependent on the successful development of OPERA, our RNA editing platform, as well as cellular delivery methods and therapeutic applications of that technology. While some of the existing, non-RNA editing, gene editing technologies developed by third parties have progressed to clinical trials, they continue to suffer from various limitations, and such limitations may affect our future success. While a number of clinical trials for oligonucleotide products conducted by other companies have not been successful, some have received regulatory approval. The pharmacological properties ascribed to the development candidates we are testing or will test in the future may not be positively demonstrated in clinical trials in patients, and they may interact with human biological systems in unforeseen, ineffective or harmful ways. If our development candidates prove to be ineffective, unsafe or commercially unviable, our OPERA platform and our pipeline would have little, if any, value, which would substantially harm our business, financial condition, results of operations and prospects. We may decide to alter or abandon our initial programs as new data becomes available and we gain experience in developing RNA editing therapeutics. We cannot be sure that our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technologies will yield satisfactory products that are safe and effective, scalable or profitable in our initial indications or any other indication we pursue.</w:t>
      </w:r>
    </w:p>
    <w:p>
      <w:pPr>
        <w:spacing w:after="0" w:line="11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Development activities in the field of RNA editing are currently subject to a number of risks related to the ownership and use of certain intellectual property rights that are subject to patent reexamination and inter partes proceedings in the United States and opposition proceedings in Europe. For additional information regarding the risks that may apply to our and our licensors’ intellectual property rights, see </w:t>
      </w:r>
      <w:r>
        <w:rPr>
          <w:rFonts w:ascii="Times New Roman" w:cs="Times New Roman" w:eastAsia="Times New Roman" w:hAnsi="Times New Roman"/>
          <w:sz w:val="18"/>
          <w:szCs w:val="18"/>
          <w:i w:val="1"/>
          <w:iCs w:val="1"/>
          <w:color w:val="auto"/>
        </w:rPr>
        <w:t>“—Risks Related to 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Property.</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and our preclinical studies and clinical trials may not be successful. If we are unable to commercialize our development candidates or experience significant delays in doing so, our business will be materially harmed.</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very early in our development of development candidates and have focused our efforts to date primarily on platform development, discovery, research, and preclinical development and had only dosed a small number of participants in our now terminated Phase 1/2a REWRITE clinical trial of KRRO-110 for AATD. Our lead development candidate, KRRO-121, only recently entered clinical development in Part 1 of ANCHOR, and we only recently nominated KRRO-111 as our GalNAc-conjugated REO for AATD, which remains in preclinical development. All of our other programs are still in the research or preclinical stage of development. Our ability to generate product revenues, which we do not expect will occur for many years, if ever, will depend heavily on the successful development, marketing approval and eventual commercialization of our development candidates, which may never occur. We have not yet generated revenue from product sales or otherwise, and we may never be able to develop or commercialize a marketable product.</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initiated Part 1 of ANCHOR in Australia under the Clinical Trial Notification, or CTN, scheme, under which the trial is approved by an HREC and notified to the TGA, and the TGA does not evaluate the trial protocol or supporting data. We have not submitted an IND to the FDA for KRRO-121, and the FDA has not reviewed ANCHOR under an IND. Commencing clinical trials in the United States, including any portion of ANCHOR or any other clinical trial of KRRO-121 or KRRO-111 that we may conduct in the United States, is subject to an IND being in effect and finalizing the trial design based on discussions with the FDA and other regulatory authorities. In addition, the initiation of Part 2 of ANCHOR is subject to regulatory approval, and the initiation of clinical development of KRRO-111 will be subject to an IND or comparable foreign application. In the event that the FDA or a comparable foreign regulatory authority requires us to complete additional preclinical studies or we are required to satisfy other requests prior to commencing a clinical trial, the start of such trial may be delayed or we may be unsuccessful obtaining clearance to proceed into clinical development. Even after we receive and incorporate guidance from these regulatory authorities, the FDA or other regulatory authorities could disagree that we have satisfied their requirements to commence any clinical trial or change their position on the acceptability of our trial designs or the clinical endpoints selected, which may require us to complete additional preclinical studies or clinical trials, delay the enrollment of our clinical trials, abandon our clinical development plans or meet stricter approval conditions than we currently expect. There are equivalent processes and risks applicable to clinical trial applications, or CTAs, and comparable submissions in other countries, including countries in the European Union, the United Kingdom and Australia.</w:t>
      </w:r>
    </w:p>
    <w:p>
      <w:pPr>
        <w:spacing w:after="0" w:line="79"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Even if we complete the necessary clinical trials, we cannot predict when, or if, we will obtain regulatory approval to commercialize any development candidates in the United States or any other jurisdiction, and any such approval may be for a narrower indication than we seek. In addition, clinical trials conducted in one country may not be accepted by regulatory authorities in other countries, and regulatory approval in one country does not guarantee regulatory approval in any other country. Part 1 of ANCHOR is being conducted in Australia and not under a U.S. IND, we may conduct Part 2 of ANCHOR at sites outside the United States, and we may in the future decide to conduct other clinical trials with one or more trial sites that are located outside the United States. Although the FDA may accept data from clinical trials conducted outside the United States, acceptance of these data is subject to conditions imposed by the FDA, including that the trial was well-designed and conducted in accordance with good clinical practice, or GCP, requirements that the data are applicable to the U.S. population and U.S. medical practice, and that the FDA is able to validate the data through an onsite inspection if it deems necessary, and there can be no assurance that the FDA will accept data from ANCHOR or any other clinical trials conducted outside of the United States. Further, recent policy proposals in the U.S., if enacted in the future, may make acceptance by the FDA or inclusion in a marketing application of foreign data more difficult or costly. The FDA has also recently signaled increased scrutiny of foreign clinical trial data submitted in support of marketing applications, indicating plans for increased foreign site inspections and increased transparency of inspection results. If the FDA does not accept the data from ANCHOR or any other clinical trial that we conduct outside the United States, including as a result of access to clinical trial sites or documentation being delayed or restricted, including for geopolitical reasons, it would likely result in the need for additional trials, which would be costly and time-consuming and could delay or permanently halt our development of the applicable development candidates. Similarly, marketing approval by the FDA in the United States, if obtained, does not ensure approval by regulatory authorities in other countries or jurisdictions. Approval processes vary among countries and can involve additional development candidate testing and validation and additional administrative review periods.</w:t>
      </w:r>
    </w:p>
    <w:p>
      <w:pPr>
        <w:spacing w:after="0" w:line="8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Commercialization of any development candidates we may develop will require preclinical and clinical development; regulatory and marketing approval in multiple jurisdictions, including by the FDA, the EMA, HREC and TGA; manufacturing supply, capacity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right="420"/>
        <w:spacing w:after="0" w:line="282" w:lineRule="auto"/>
        <w:rPr>
          <w:sz w:val="20"/>
          <w:szCs w:val="20"/>
          <w:color w:val="auto"/>
        </w:rPr>
      </w:pPr>
      <w:r>
        <w:rPr>
          <w:rFonts w:ascii="Times New Roman" w:cs="Times New Roman" w:eastAsia="Times New Roman" w:hAnsi="Times New Roman"/>
          <w:sz w:val="18"/>
          <w:szCs w:val="18"/>
          <w:color w:val="auto"/>
        </w:rPr>
        <w:t>and expertise; a commercial organization; and significant marketing efforts. The success of our development candidates will depend on many factors, including the following:</w:t>
      </w:r>
    </w:p>
    <w:p>
      <w:pPr>
        <w:spacing w:after="0" w:line="54" w:lineRule="exact"/>
        <w:rPr>
          <w:sz w:val="20"/>
          <w:szCs w:val="20"/>
          <w:color w:val="auto"/>
        </w:rPr>
      </w:pPr>
    </w:p>
    <w:p>
      <w:pPr>
        <w:ind w:left="1020" w:right="1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including toxicology studies, biodistribution studies and minimally efficacious dose studies in animals, where applicable;</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INDs or comparable foreign applications that allow commencement or continuation of our ongoing and planned clinical trials, including Part 2 of ANCHOR, or future clinical trials for any development candidates we may develop;</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 including under the FDA’s GCPs, good laboratory practice, or GLP, requirements, and any additional regulatory requirements from foreign regulatory authorities;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ongoing and future clinical trials, including ANCHOR, that support a finding of safety and effectiveness and an acceptable risk-benefit profile in the intended populations;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through our own facilities or with third-party manufacturers for clinical supply and, where applicable, commercial manufacturing capabilities;</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maintenance, defense and enforcement of patent, trademark, trade secret and other intellectual property protection or regulatory exclusivity for any development candidates we may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launch of any development candidates we may develop, if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the development candidates we may develop, including method of administration, if and when approved, by patients, the medical community and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competition with other products;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tolerability and efficacy profile of any development candidates we may develop following approval;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healthcare coverage and adequate reimbursement by payors.</w:t>
      </w:r>
    </w:p>
    <w:p>
      <w:pPr>
        <w:spacing w:after="0" w:line="117"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If we do not succeed in one or more of these factors in a timely manner or at all, we could experience significant delays or an inability to successfully commercialize any development candidates we may develop, which would materially harm our business.</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development candidates we develop may fail in preclinical or clinical development or be delayed to a point where they do not become commercially viable.</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Before obtaining regulatory approval for the commercial distribution of any of our development candidates, we must conduct, at our own expense, extensive preclinical studies and clinical trials to demonstrate the safety and efficacy in humans of our development candidates. Preclinical and clinical testing are expensive, difficult to design and implement, can take many years to complete, are uncertain as to outcome, and the historical failure rate for drugs in preclinical and clinical development is high. For example, we depend on the availability of non-human primates, or NHPs, to conduct certain preclinical studies. Over the past several years there has been an increasing global shortage of NHPs available for drug development that has matured into an acute global supply chain issue. The supply of these NHPs is currently constrained due to factors such as their limited worldwide availability, domestic regulatory restrictions and trade relations. If we are unable to obtain access to a sufficient supply of these NHPs in a timely manner or at all, our timelines and our ability to complete preclinical testing and submit IND or CTA applications may be adversely affected.</w:t>
      </w:r>
    </w:p>
    <w:p>
      <w:pPr>
        <w:spacing w:after="0" w:line="84"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development of one or more of our development candidates can fail at any stage of testing. We may experience numerous unforeseen events during, or as a result of, preclinical studies and clinical trials that could delay or prevent regulatory approval or our ability to commercialize our development candidates, including:</w:t>
      </w:r>
    </w:p>
    <w:p>
      <w:pPr>
        <w:spacing w:after="0" w:line="68" w:lineRule="exact"/>
        <w:rPr>
          <w:sz w:val="20"/>
          <w:szCs w:val="20"/>
          <w:color w:val="auto"/>
        </w:rPr>
      </w:pPr>
    </w:p>
    <w:p>
      <w:pPr>
        <w:ind w:left="1020" w:right="4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studies or clinical trials may produce negative or inconclusive results, including results that may not meet the level of significance or clinical benefit required by the FDA, the EMA, HREC, TGA or other regulators, and we may decide, or regulators may require us, to conduct additional preclinical studies or clinical trials, or we may abandon projects that we had expected to be promising;</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INDs or comparable foreign applications or delays or failure in obtaining the necessary approvals from regulators or IRBs in order to commence a clinical trial at a prospective trial site, or their suspension or termination of a clinical trial once commenced;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on us by the FDA, the EMA, HREC, TGA or comparable foreign authorities regarding the scope or design of our clinical trials;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4" w:name="page45"/>
    <w:bookmarkEnd w:id="44"/>
    <w:p>
      <w:pPr>
        <w:ind w:left="1020" w:right="1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divergent views between FDA and other homologue regulatory authorities as to the objectives and/or design of the clinical trials required in support of marketing registration;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 obtaining or maintaining IRB approval of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patients or volunteers into clinical trials, and variability in the number and types of patients eligible for clinical trials;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open study sites, or enroll, treat, and monitor patients due to local restrictions, including as a result of any pandemic or endemic or other geopolitical events that can disrupt supply chains, such as announced tariffs, hostilities in Iran, or other evolving economic policies;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for patients in clinical trials and substantial missing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or the clinical trials of others for development candidates similar to ours;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future clinical trials to confirm positive results, if any, from earlier preclinical studies and clinical trials;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consistently manufacture, inadequate supply, or unacceptable quality of development candidate materials or other materials necessary for the conduct of our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side effects that may or may not be related to the development candidate being tested that are experienced by participants in our clinical trials or by individuals using drugs similar to our development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or disappointing effectiveness of our development candidates during clinical trials;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outcome of FDA, EMA, HREC, TGA or other regulatory agency inspection and review of a manufacturing or clinical trial site or other records relating to the clinical investigation;</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investigators, or collaboration partners to comply with regulatory requirements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and changes in regulatory requirements, policy and guidelines, including the imposition of additional regulatory oversight around manufacturing, preclinical, or clinical testing generally or with respect to our development candidates class, in particular; 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pacing w:after="0" w:line="11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we do not successfully conduct clinical development, we will not be able to market and sell products derived from our development candidates or generate product revenues. Even if we do successfully complete clinical trials, those results are not necessarily predictive of results of additional trials that may be needed before we can submit an application for regulatory approval to the FDA or foreign regulatory agencies. If the development of any of our development candidates fails or is delayed to a point where such development candidate is no longer commercially viable, our business may be materially harmed.</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including ANCHOR, that we announce or publish from time to time may change as more data become available and are subject to audit and verification procedures that could result in material changes in the final data.</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such as the interim clinical readout from Part 2 of ANCHOR that we currently expect in the second half of 2027. These data are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Interim data are also subject to the risk that one or more clinical outcomes may materially change as participant enrollment continues and more participant data become available, a risk that may be heightened in open-label trials with small numbers of participants, such as Part 2 of ANCHOR. Adverse differences between preliminary, interim or topline data and final data could significantly harm our business prospects. 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development candidate and our company in general. In addition, the information we choose to publicly disclose regarding a particular trial is typically selected from a more extensive amount of available information, and you or others may not agree with what we determine is material or otherwise appropriate information to include in our disclosure. If the preliminary, interim or topline data that we report differ from final results, or if others, including</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5" w:name="page46"/>
    <w:bookmarkEnd w:id="45"/>
    <w:p>
      <w:pPr>
        <w:ind w:right="280"/>
        <w:spacing w:after="0" w:line="282" w:lineRule="auto"/>
        <w:rPr>
          <w:sz w:val="20"/>
          <w:szCs w:val="20"/>
          <w:color w:val="auto"/>
        </w:rPr>
      </w:pPr>
      <w:r>
        <w:rPr>
          <w:rFonts w:ascii="Times New Roman" w:cs="Times New Roman" w:eastAsia="Times New Roman" w:hAnsi="Times New Roman"/>
          <w:sz w:val="18"/>
          <w:szCs w:val="18"/>
          <w:color w:val="auto"/>
        </w:rPr>
        <w:t>regulatory authorities, disagree with the conclusions reached, our ability to obtain approval for, and commercialize, our development candidates may be harmed, which could harm our business, financial condition, results of operations and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conduct clinical trials successfully due to various process-related factors that could negatively impact our business plans.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successful initiation and completion of any of our clinical trials within timeframes consistent with our business plans, is dependent on various factors, which include, but are not limited to, our ability to:</w:t>
      </w:r>
    </w:p>
    <w:p>
      <w:pPr>
        <w:spacing w:after="0" w:line="5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recruit employees, contractors or consultants with the required level of knowledge and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recruit, in a timely manner, a sufficient number of patients necessary to conduct a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and maintain a sufficient amount of clinical material, internally or through third parties;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adherence to trial designs and protocols agreed upon and approved by regulatory authorities and applicable regulatory and legal guidelines;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the appropriate pharmacovigilance measures in case of adverse effects emerging during a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clinical trial designs and protocols approved by regulatory authorities without deficiencies;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effectively contract with (under reasonable terms), manage and work with investigators, institutions, hospitals and the CROs involved in the clinical trial;</w:t>
      </w:r>
    </w:p>
    <w:p>
      <w:pPr>
        <w:spacing w:after="0" w:line="53" w:lineRule="exact"/>
        <w:rPr>
          <w:rFonts w:ascii="Times New Roman" w:cs="Times New Roman" w:eastAsia="Times New Roman" w:hAnsi="Times New Roman"/>
          <w:sz w:val="18"/>
          <w:szCs w:val="18"/>
          <w:color w:val="auto"/>
        </w:rPr>
      </w:pPr>
    </w:p>
    <w:p>
      <w:pPr>
        <w:jc w:val="both"/>
        <w:ind w:left="1020" w:right="36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contracts and other related documents with clinical trial parties and IRBs, CRO agreements and site agreements, which can be subject to extensive negotiations that could cause significant delays in the clinical trial process, with terms possibly varying significantly among different trial sites and CROs and possibly subjecting us to various risks; and</w:t>
      </w:r>
    </w:p>
    <w:p>
      <w:pPr>
        <w:spacing w:after="0" w:line="67"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clinical trials in a cost-effective manner, including management of foreign currency risk in clinical trials conducted in foreign jurisdictions and cost increases due to unforeseen or unexpected complications such as enrollment delays, or needing to outsource certain functions during the clinical trial.</w:t>
      </w:r>
    </w:p>
    <w:p>
      <w:pPr>
        <w:spacing w:after="0" w:line="6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If we are not able to manage the clinical trial process successfully, our business plans could be delayed or be rendered unfeasible for us to execute within our planned or required time frames, or at all.</w:t>
      </w:r>
    </w:p>
    <w:p>
      <w:pPr>
        <w:spacing w:after="0" w:line="26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successfully manufacture our development candidates for our research and development and preclinical activities, or manufacture sufficient amounts of our development candidates to meet our clinical requirements and timelines, our business may be materially harmed.</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order to develop our development candidates, apply for regulatory approvals and commercialize our development candidates, we will need to develop, contract for, or otherwise arrange for the necessary manufacturing and supply capabilities. In addition to the oligonucleotides that we manufacture internally, we may utilize CMOs to manufacture the oligonucleotides required for our preclinical studies and clinical trials. There are a limited number of manufacturers that supply oligonucleotides. There are risks inherent in pharmaceutical manufacturing that could affect our ability or the ability of our CMOs to meet delivery time requirements or provide adequate amounts of material to meet our clinical trial demands on our projected timelines. Included in these risks are potential synthesis and purification failures and/or contamination during the manufacturing process, as well as other issues with our facility or the CMOs’ facilities and ability to comply with the applicable manufacturing requirements and quality standards, which could result in unusable product and cause delays in our manufacturing timelines and ultimately delay our clinical trials, as well as result in additional expense. To manufacture our oligonucleotides, we rely on third parties to supply the required raw materials. We will likely need to secure alternative suppliers for these raw materials, and such alternative suppliers are limited and may not be readily available, or we may be unable to enter into agreements with them on reasonable terms and in a timely manner. For example, we source certain materials used in the manufacture of our products from China and other countries outside of the United States; supply chain disruptions (including as a result of announced tariffs, other geopolitical events or global health pandemics) could impact our business. Additionally, our cost of goods development is at an early stage. The actual cost to manufacture and process our development candidates could be greater than expected and could materially and adversely affect the commercial viability of our development candidates.</w:t>
      </w:r>
    </w:p>
    <w:p>
      <w:pPr>
        <w:spacing w:after="0" w:line="30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process of manufacturing oligonucleotides is complex and we may encounter difficulties in production, particularly with respect to process development or scaling-up of our manufacturing capabilities.</w:t>
      </w:r>
    </w:p>
    <w:p>
      <w:pPr>
        <w:spacing w:after="0" w:line="5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process of manufacturing oligonucleotides is complex, highly-regulated and subject to multiple risks. The complex processes associated with the manufacture of our development candidates expose us to various manufacturing challenges and risks, which may include delays in manufacturing adequate supply of our development candidates, limits on our ability to increase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6" w:name="page47"/>
    <w:bookmarkEnd w:id="46"/>
    <w:p>
      <w:pPr>
        <w:spacing w:after="0" w:line="252" w:lineRule="auto"/>
        <w:rPr>
          <w:sz w:val="20"/>
          <w:szCs w:val="20"/>
          <w:color w:val="auto"/>
        </w:rPr>
      </w:pPr>
      <w:r>
        <w:rPr>
          <w:rFonts w:ascii="Times New Roman" w:cs="Times New Roman" w:eastAsia="Times New Roman" w:hAnsi="Times New Roman"/>
          <w:sz w:val="18"/>
          <w:szCs w:val="18"/>
          <w:color w:val="auto"/>
        </w:rPr>
        <w:t>manufacturing capacity, and the potential for product failure and product variation in quality that may interfere with preclinical studies and clinical trials, along with additional costs. We may also make changes to our manufacturing process or the delivery system we use at various points during development, and even after commercialization, for various reasons, such as optimizing costs, achieving scale, decreasing processing time, increasing manufacturing success rate, or other reasons. Such changes carry the risk that they will not achieve their intended objectives, and any of these changes could cause our development candidates to perform differently and affect the results of current or future clinical trials, or the performance of the product, once commercialized. In some circumstances, changes in the manufacturing or delivery system may require us to perform ex vivo comparability studies, and/or conduct animal studies, and to collect additional data from patients prior to undertaking more advanced clinical trials. For instance, changes in our manufacturing process during the course of clinical development may require us to show the comparability of the product used in earlier clinical trials or at earlier portions of a trial to the product used in later clinical trials or later portions of the trial. We may also make further changes to our manufacturing or delivery system before or after commercialization, and such changes may require us to show the comparability of the resulting product to the product produced via earlier manufacturing processes and supplied or delivery system used in clinical studies. We may be required to collect additional preclinical and/or clinical data from any modified process prior to obtaining marketing approval for the development candidate produced with such modified process. If preclinical and/or clinical data are not ultimately comparable to those seen in the earlier trials, we may be required to make further changes to our process and/or undertake additional clinical testing, either of which could significantly delay the clinical development or commercialization of the associated development candidate.</w:t>
      </w:r>
    </w:p>
    <w:p>
      <w:pPr>
        <w:spacing w:after="0" w:line="88" w:lineRule="exact"/>
        <w:rPr>
          <w:sz w:val="20"/>
          <w:szCs w:val="20"/>
          <w:color w:val="auto"/>
        </w:rPr>
      </w:pPr>
    </w:p>
    <w:p>
      <w:pPr>
        <w:jc w:val="both"/>
        <w:ind w:right="400" w:firstLine="509"/>
        <w:spacing w:after="0" w:line="256" w:lineRule="auto"/>
        <w:rPr>
          <w:sz w:val="20"/>
          <w:szCs w:val="20"/>
          <w:color w:val="auto"/>
        </w:rPr>
      </w:pPr>
      <w:r>
        <w:rPr>
          <w:rFonts w:ascii="Times New Roman" w:cs="Times New Roman" w:eastAsia="Times New Roman" w:hAnsi="Times New Roman"/>
          <w:sz w:val="18"/>
          <w:szCs w:val="18"/>
          <w:color w:val="auto"/>
        </w:rPr>
        <w:t>Although we continue to build on our experience in manufacturing oligonucleotides, we have limited experience as a company manufacturing development candidates for commercial supply. We may never be successful in manufacturing development candidates in sufficient quantities or with sufficient quality for commercial use. Our manufacturing capabilities could be affected by cost-overruns, unexpected delays, equipment failures, labor shortages, operator error, natural disasters, unavailability of qualified personnel, difficulties with logistics and shipping, problems regarding yields or stability of product, contamination or other quality control issues, power failures, and numerous other factors that could prevent us from realizing the intended benefits of our manufacturing strategy and have a material adverse effect on our business.</w:t>
      </w:r>
    </w:p>
    <w:p>
      <w:pPr>
        <w:spacing w:after="0" w:line="7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Furthermore, compliance with cGMP requirements and other quality issues may arise during any internal efforts to scale-up manufacturing, and with our current or any future CMOs. If contaminants are discovered in our supply of our development candidates or in the manufacturing facilities of our CMOs, such manufacturing facilities may need to be closed for an extended period of time to investigate and remedy the contamination. We cannot assure you that any stability failures or other issues relating to the manufacture of our development candidates will not occur in the future. Additionally, our CMOs may experience manufacturing difficulties due to resource constraints or as a result of labor disputes or unstable political environments. If our CMOs were to encounter any of these difficulties, our ability to provide our development candidate to patients in clinical trials, or to provide product for treatment of patients once approved, would be jeopardized.</w:t>
      </w:r>
    </w:p>
    <w:p>
      <w:pPr>
        <w:spacing w:after="0" w:line="29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development candidate or indication and fail to capitalize on development candidates or indications that may be more profitable or for which there is a greater likelihood of success.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resources, we intend to focus on developing development candidates for specific indications that we identify as most likely to succeed, in terms of both regulatory approval and commercialization. As a result, we may forego or delay pursuit of opportunities with other development candidates or for other indications that may prove to have greater commercial potential. Our resource allocation decisions may cause us to fail to capitalize on viable commercial products or profitable market opportunities. Our spending on current and future research and development programs and development candidates for specific indications may not yield any commercially viable products. If we do not accurately evaluate the commercial potential or target market for a particular development candidate, we may relinquish valuable rights to that development candidate through collaboration, licensing or other royalty arrangements in cases in which we would have been more advantageous for us to retain sole development and commercialization rights to such development candidate.</w:t>
      </w:r>
    </w:p>
    <w:p>
      <w:pPr>
        <w:spacing w:after="0" w:line="29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development candidates may cause undesirable and unforeseen side effects or be perceived by the public as unsafe, which could delay or prevent their advancement into clinical trials or regulatory approval, limit the commercial potential or result in significant negative consequences.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have dosed very few participants with our development candidates in human clinical trials, and KRRO-121 has been administered to only a limited number of healthy volunteers in Part 1 of ANCHOR. Moreover, there have been only a limited number of clinical trials involving the use of genetic medicine technologies and RNA editing technology similar to our technology. It is impossible to predict when, or if, any development candidates we may develop will prove safe in humans. In the genetic medicine field, there have been several significant adverse events from gene therapy treatments in the past, including reported cases of leukemia and death. There can be no assurance that RNA editing technologies will not cause undesirable side effects, such as lymphoma, leukemia, or other cancers, or other aberrantly functioning cells.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 xml:space="preserve">KRRO-121 is the first development candidate we have advanced into the clinic that is designed to generate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protein, and its novel mechanism of action increases the risk of unanticipated safety findings. KRRO-121 is designed to edit GS mRNA in hepatocytes to produce a stabilized variant of GS that does not occur naturally, which could elicit an immune response against the edited protein or otherwise have effects that we have not anticipated. In addition, because GS converts ammonia and glutamate into glutamine, increasing GS activity could alter glutamine or glutamate levels, and elevated glutamine has been associated with neurological toxicity in patients with hyperammonemia, including HE. Although we have not observed significant increases in plasma glutamine in our preclinical studies, these findings may not be replicated in humans, particularly over longer periods of dosing. Our REOs also recruit endogenous ADAR enzymes and could result in unintended editing at other sites in the transcriptome or interfere with the normal function of ADAR, and GalNAc-conjugated oligonucleotides as a class have been associated with injection site reactions and, for certain compounds, liver enzyme elevations and other adverse effects. Any such findings in ANCHOR could cause us, an HREC, the TGA or other regulatory authorities to delay, modify, suspend or terminate the trial.</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any such adverse events occur, ANCHOR or our future clinical trials could be suspended, placed on clinical hold or otherwise delayed or terminated. If we are unable to demonstrate that any adverse events were caused by the administration process or related procedures, the FDA, the EMA, HREC, TGA or other regulatory authorities could order us to cease further development of, or deny approval of, any development candidates for any or all targeted indications. Even if we can demonstrate that all future serious adverse events are not product-related, such occurrences could affect patient recruitment or the ability of enrolled patients to complete ANCHOR or any future trial. Moreover, if we elect, or are required, to not initiate, delay, suspend or terminate ANCHOR or any future clinical trial of any of our development candidates, the commercial prospects of such development candidates may be harmed and our ability to generate product revenues from any of these development candidates may be delayed or eliminated. Any of these occurrences may harm our ability to develop other development candidates, and may adversely affect our business, financial condition, results of operations and prospects significantly.</w:t>
      </w:r>
    </w:p>
    <w:p>
      <w:pPr>
        <w:spacing w:after="0" w:line="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Additionally, if any of our development candidates receives marketing approval, the FDA could require us to adopt a REMS to ensure that the benefits of the product outweigh its risks, which may include, for example, a Medication Guide outlining the risks of the product for distribution to patients and a communication plan to health care practitioners, or other elements to assure safe use of the product. Furthermore, if we or others later identify undesirable side effects caused by any of our development candidates, several potentially significant negative consequences could result, including:</w:t>
      </w:r>
    </w:p>
    <w:p>
      <w:pPr>
        <w:spacing w:after="0" w:line="72"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development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development candidate is administered or conduct additional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of these occurrences may harm our business, financial condition, results of operations and prospects significantly.</w:t>
      </w:r>
    </w:p>
    <w:p>
      <w:pPr>
        <w:spacing w:after="0" w:line="32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identify patients who are likely to benefit from therapy with any development candidates we develop, or experience significant delays in doing so, we may not realize the full commercial potential of any products we may develop.</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success may depend, in part, on our ability to identify patients who are likely to benefit from therapy with any products we may develop, which may require those potential patients to have their DNA analyzed for the presence or absence of a particular sequence. If we, or any third parties that we engage to assist us, are unable to successfully identify such patients, or experience delays in doing so, then:</w:t>
      </w:r>
    </w:p>
    <w:p>
      <w:pPr>
        <w:spacing w:after="0" w:line="68" w:lineRule="exact"/>
        <w:rPr>
          <w:sz w:val="20"/>
          <w:szCs w:val="20"/>
          <w:color w:val="auto"/>
        </w:rPr>
      </w:pPr>
    </w:p>
    <w:p>
      <w:pPr>
        <w:ind w:left="1020" w:right="1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any development candidates may be adversely affected if we are unable to appropriately select patients for enrollment in our clinical trials;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full commercial potential of any development candidates we develop that receive marketing approval if, among other reasons, we are unable to appropriately select patients who are likely to benefit from therapy with our products.</w:t>
      </w:r>
    </w:p>
    <w:p>
      <w:pPr>
        <w:spacing w:after="0" w:line="5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a result of these factors, we may be unable to successfully develop and realize the commercial potential of any development candidates we may identify and develop, and our business, financial condition, results of operations and prospects would be materially adversely affected.</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any development candidates, we may be unable to generate any revenues.</w:t>
      </w:r>
    </w:p>
    <w:p>
      <w:pPr>
        <w:spacing w:after="0" w:line="5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currently do not have an organization for the sales, marketing and distribution of any development candidates and the cost of establishing and maintaining such an organization may exceed the cost-effectiveness of doing so. To market any products that may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8" w:name="page49"/>
    <w:bookmarkEnd w:id="48"/>
    <w:p>
      <w:pPr>
        <w:ind w:right="20"/>
        <w:spacing w:after="0" w:line="258" w:lineRule="auto"/>
        <w:rPr>
          <w:sz w:val="20"/>
          <w:szCs w:val="20"/>
          <w:color w:val="auto"/>
        </w:rPr>
      </w:pPr>
      <w:r>
        <w:rPr>
          <w:rFonts w:ascii="Times New Roman" w:cs="Times New Roman" w:eastAsia="Times New Roman" w:hAnsi="Times New Roman"/>
          <w:sz w:val="18"/>
          <w:szCs w:val="18"/>
          <w:color w:val="auto"/>
        </w:rPr>
        <w:t>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development candidates, we may enter into strategic alliances with third parties to develop and commercialize any development candidates, including in markets outside of the United States or for other large markets that are beyond our resources. This will reduce the revenue generated from the sales of these products.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Any future strategic alliance partners may not dedicate sufficient resources to the commercialization of our development candidates or may otherwise fail in their commercialization due to factors beyond our control. If we are unable to establish effective alliances to enable the sale of our development candidates to healthcare professionals and in geographical regions, including the United States, that will not be covered by our own marketing and sales force, or if our potential future strategic alliance partners do not successfully commercialize the development candidates, our ability to generate revenues from product sales will be adversely affected.</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2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to market our development candidates, the market may not be receptive to our development candidates upon their commercial introduction, which will prevent us from becoming profitable.</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development candidates are based upon new discoveries, technologies and therapeutic approaches. Key participants in pharmaceutical marketplaces, such as physicians, third-party payors and consumers, may not adopt a product intended to improve therapeutic results that is based on the technology employed by REOs. As a result, it may be more difficult for us to convince the medical community and third-party payors to accept and use our product, or to provide favorable reimbursement.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factors that we believe will materially affect market acceptance of our development candidates include:</w:t>
      </w:r>
    </w:p>
    <w:p>
      <w:pPr>
        <w:spacing w:after="0" w:line="11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regulatory approvals, the terms of any approvals and the countries in which approvals are obtained;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consistently manufacture our products within acceptable quality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development candidates, as demonstrated in clinical trials and as compared with alternative treatments,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seriousness and severity of any side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development candidates;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accept potentially new routes of administration and their risk tolerance as it relates to potentially serious side effects;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physician education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government and third-party payor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alternative effective treatments for the diseases that development candidates we develop are intended to treat and the relative risks, benefits and costs of those treatments.</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addition, our estimates regarding the potential market size may be materially different from what we currently expect by the time we commence commercialization, which could result in significant changes in our business plan and may significantly harm our results of operations and financial condition.</w:t>
      </w:r>
    </w:p>
    <w:p>
      <w:pPr>
        <w:spacing w:after="0" w:line="2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pharmaceutical industry is intensely competitive. If we are unable to compete effectively with existing drugs, new treatment methods and new technologies, we may be unable to commercialize successfully any drugs that we develop.</w:t>
      </w:r>
    </w:p>
    <w:p>
      <w:pPr>
        <w:spacing w:after="0" w:line="5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pharmaceutical industry is intensely competitive and rapidly changing. Many large pharmaceutical and biotechnology companies, academic institutions, governmental agencies and other public and private research organizations are pursuing the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development of novel drugs for the same diseases that we are targeting or expect to target, including UCD, HE, and AATD. Many of our competitors have:</w:t>
      </w:r>
    </w:p>
    <w:p>
      <w:pPr>
        <w:spacing w:after="0" w:line="117" w:lineRule="exact"/>
        <w:rPr>
          <w:sz w:val="20"/>
          <w:szCs w:val="20"/>
          <w:color w:val="auto"/>
        </w:rPr>
      </w:pPr>
    </w:p>
    <w:p>
      <w:pPr>
        <w:ind w:left="1020" w:right="7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much greater financial, technical and human resources than we have at every stage of the discovery, development, manufacture and commercialization of products;</w:t>
      </w:r>
    </w:p>
    <w:p>
      <w:pPr>
        <w:spacing w:after="0" w:line="53" w:lineRule="exact"/>
        <w:rPr>
          <w:rFonts w:ascii="Times New Roman" w:cs="Times New Roman" w:eastAsia="Times New Roman" w:hAnsi="Times New Roman"/>
          <w:sz w:val="18"/>
          <w:szCs w:val="18"/>
          <w:color w:val="auto"/>
        </w:rPr>
      </w:pPr>
    </w:p>
    <w:p>
      <w:pPr>
        <w:ind w:left="1020" w:right="9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extensive experience in designing and conducting preclinical studies and clinical trials, obtaining regulatory approvals, and manufacturing, marketing and selling pharmaceutical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candidates that are based on previously tested or accepted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that have been approved or are in late stages of development;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in our target markets with leading companies and research institutions.</w:t>
      </w:r>
    </w:p>
    <w:p>
      <w:pPr>
        <w:spacing w:after="0" w:line="117"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We will face intense competition from drugs that have already been approved and accepted by the medical community for the treatment of the conditions for which we may develop products. We also expect to face competition from new drugs that enter the market. We believe a significant number of drugs are currently under development, and may become commercially available in the future, for the treatment of conditions that our current or future development candidates are or may be designed to treat. These drugs may be more effective, safer, less expensive, or marketed and sold more effectively, than any products we develop. As a result of the discontinuation of KRRO-110 and our transition to GalNAc-conjugated delivery for our AATD program, we are behind certain of our competitors that have clinical-stage programs for AATD, which could negatively impact our ability to develop a commercially viable product for such indication. In addition, we have described certain of our development candidates as having first-in-class or best-in-class potential. These characterizations are based on preclinical data, and we have not conducted any head-to-head clinical comparisons with existing or investigational therapies. Accordingly, our development candidates may not prove to be first-in-class or best-in-class or to have advantages over competing therapies.</w:t>
      </w:r>
    </w:p>
    <w:p>
      <w:pPr>
        <w:spacing w:after="0" w:line="6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competitors may develop or commercialize products with significant advantages over any products we are able to develop and commercialize based on many different factors, including:</w:t>
      </w:r>
    </w:p>
    <w:p>
      <w:pPr>
        <w:spacing w:after="0" w:line="54"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effectiveness of our products relative to alternative products,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with which our products can be administered and the extent to which patients accept relatively new routes of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regulatory approvals for these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manufacturing, marketing and sales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extensive coverage and higher levels of reimbursement;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position.</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development candidates. Such competitors could also recruit our employees, which could negatively impact our level of expertise and our ability to execute on our business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development candidates, restrict or regulate post-approval activities, and affect our ability to profitably sell any development candidates for which we obtain marketing approval. Payors, whether domestic or foreign, or governmental or private, are developing increasingly sophisticated methods of controlling healthcare costs. Recent and proposed healthcare reform measures in the United States have focused in particular on prescription drug pricing, reimbursement, and manufacturer financial obligations under government healthcare programs. These measures include statutory changes, executive actions, and proposed regulations that may affect pricing, coverage, reimbursement methodologies, and market access for pharmaceutical and biological products. For example, in September 2026, CMS finalized the Global Benchmark for Efficient Drug Pricing, or GLOBE, Model, a mandatory Medicare Part B payment model that ties manufacturer rebates to international reference prices and is scheduled to begin January 1, 2027, although the final model excludes certain categories of drugs, including drugs designated and approved only for rare diseases or conditions. CMS has not finalized the companion Medicare Part D GUARD Model, and the GLOBE Model is the subject of litigation. We cannot predict whether or how these or similar models would apply to any of our development candidates, if approved, including if we obtain approval for an indication that is not a rare disease or condition.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a more complete discussion of healthcare reform and regulatory developments that may affect our business, see Item 1, </w:t>
      </w:r>
      <w:r>
        <w:rPr>
          <w:rFonts w:ascii="Times New Roman" w:cs="Times New Roman" w:eastAsia="Times New Roman" w:hAnsi="Times New Roman"/>
          <w:sz w:val="18"/>
          <w:szCs w:val="18"/>
          <w:i w:val="1"/>
          <w:iCs w:val="1"/>
          <w:color w:val="auto"/>
        </w:rPr>
        <w:t>“Business—Government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Regulation—Healthcare Reform Measures” </w:t>
      </w:r>
      <w:r>
        <w:rPr>
          <w:rFonts w:ascii="Times New Roman" w:cs="Times New Roman" w:eastAsia="Times New Roman" w:hAnsi="Times New Roman"/>
          <w:sz w:val="18"/>
          <w:szCs w:val="18"/>
          <w:color w:val="auto"/>
        </w:rPr>
        <w:t>in the 2025 10-K.</w:t>
      </w:r>
    </w:p>
    <w:p>
      <w:pPr>
        <w:spacing w:after="0" w:line="52"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There has been increasing legislative, regulatory, and enforcement interest in the United States with respect to prescription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spacing w:after="0" w:line="7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development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development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33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expect that additional healthcare reform measures will be adopted in the future, any of which could result in reduced demand for our development candidates or additional pricing pressures. These cost containment measures (be it federal or state regulations, or regional bidding processes, or most-favored-nation pricing practices, or otherwise) could reduce the ultimate demand for any approved development candidates and or put pressure on our pricing, which could negatively affect our business, financial condition, results of operations and prospects.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a 2024 U.S. Supreme Court decision may increase regulatory uncertainty and litigation risk and could delay or complicate FDA regulatory review, policymaking, or implementation of regulatory initiatives. We cannot predict the full impact of this decision, future judicial challenges brought against the FDA, or the nature or extent of government regulation that may arise from future legislation or administrative action. Any such challenges, if successful, could have an impact on our business, and any such impact could be material. In addition to potential changes to regulations and agency guidance as a result of legal challenges, these decisions may result in increased regulatory uncertainty and delays in and other impacts to the agency rulemaking process, any of which could adversely impact our business and operations.</w:t>
      </w:r>
    </w:p>
    <w:p>
      <w:pPr>
        <w:spacing w:after="0" w:line="29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development candidates we may develop are smaller than we believe they are, our potential revenues may be adversely affected, and our business may suffer.</w:t>
      </w:r>
    </w:p>
    <w:p>
      <w:pPr>
        <w:spacing w:after="0" w:line="51" w:lineRule="exact"/>
        <w:rPr>
          <w:sz w:val="20"/>
          <w:szCs w:val="20"/>
          <w:color w:val="auto"/>
        </w:rPr>
      </w:pPr>
    </w:p>
    <w:p>
      <w:pPr>
        <w:ind w:right="80" w:firstLine="509"/>
        <w:spacing w:after="0" w:line="274" w:lineRule="auto"/>
        <w:rPr>
          <w:sz w:val="20"/>
          <w:szCs w:val="20"/>
          <w:color w:val="auto"/>
        </w:rPr>
      </w:pPr>
      <w:r>
        <w:rPr>
          <w:rFonts w:ascii="Times New Roman" w:cs="Times New Roman" w:eastAsia="Times New Roman" w:hAnsi="Times New Roman"/>
          <w:sz w:val="17"/>
          <w:szCs w:val="17"/>
          <w:color w:val="auto"/>
        </w:rPr>
        <w:t>Our projections of both the number of people who have these diseases, as well as the subset of people with these diseases who have the potential to benefit from treatment with development candidates we may develop, are based on estimates. These estimates may prove to be incorrect and new studies may change the estimated incidence or prevalence of these diseases. Additionally, our estimates regarding the potential market size may be materially different from what we currently expect by the time we commence commercialization. The number of patients in the United States, Europe, and elsewhere may turn out to be lower than expected, and patients may not be amenable to treatment with our development candidates, or may become increasingly difficult to identify or gain access to, all of which would adversely affect our business, financial condition, results of operations, and prospects.</w:t>
      </w:r>
    </w:p>
    <w:p>
      <w:pPr>
        <w:spacing w:after="0" w:line="27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seek designations for our development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development candidates are granted such designations, we may not be able to realize the intended benefits of such designations.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FDA and comparable foreign regulatory authorities offer certain designations for development candidates that are designed to encourage the research and development of development candidates that are intended to address conditions with significant unmet medical need. These designations include fast track, or breakthrough therapy, among others, and may confer benefits such as additional interaction with regulatory authorities, a potentially accelerated regulatory pathway and priority review. However, there can be no assurance that we will successfully obtain such designations for any development candidates. See Item 1 “</w:t>
      </w:r>
      <w:r>
        <w:rPr>
          <w:rFonts w:ascii="Times New Roman" w:cs="Times New Roman" w:eastAsia="Times New Roman" w:hAnsi="Times New Roman"/>
          <w:sz w:val="18"/>
          <w:szCs w:val="18"/>
          <w:i w:val="1"/>
          <w:iCs w:val="1"/>
          <w:color w:val="auto"/>
        </w:rPr>
        <w:t>Business—Government Regulation—Expedited Development and Review Programs for Drugs</w:t>
      </w:r>
      <w:r>
        <w:rPr>
          <w:rFonts w:ascii="Times New Roman" w:cs="Times New Roman" w:eastAsia="Times New Roman" w:hAnsi="Times New Roman"/>
          <w:sz w:val="18"/>
          <w:szCs w:val="18"/>
          <w:color w:val="auto"/>
        </w:rPr>
        <w:t>” in the 2025 10-K for more information regarding these designations. While such designations could expedite the development or approval process, they generally do not change the standards for approval. Even if we obtain such designations for one or more of our development candidates, there can be no assurance that we will realize their intended benefits.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51" w:name="page52"/>
    <w:bookmarkEnd w:id="51"/>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future, we may also seek approval of development candidates under the FDA’s accelerated approval pathway or request priority review. There can be no assurance that FDA would allow any of the development candidates we may develop to proceed on an accelerated approval pathway or grant priority review, and even if FDA did allow such pathway, there can be no assurance that such submission or application will be accepted or that any expedited development, review or approval will be granted on a timely basis, or at all. Moreover, even if we received accelerated approval, any post-approval studies required to confirm and verify clinical benefit may not show such benefit, which could lead to withdrawal of any approvals we have obtained. Receiving accelerated approval does not assure that the product’s accelerated approval will eventually be converted to a traditional approval.</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in the European Union, we may seek to participate in The PRIority MEdicines, or PRIME, scheme for our development candidates. The PRIME scheme is intended to encourage drug development in areas of unmet medical need and provides accelerated assessment of products representing substantial innovation, where the marketing authorization application will be made through the centralized procedure in the European Union. There is no guarantee, however, that our development candidates would be deemed eligible for the PRIME scheme and even if we do participate in the PRIME scheme, where during the course of development a medicine no longer meets the eligibility criteria, support under the PRIME scheme may be withdrawn. PRIME eligibility does not change the standards for product approval, and there is no assurance that any such designation or eligibility will result in expedited review or approval. For more information regarding PRIME and the EU regulatory framework, see Item 1 “</w:t>
      </w:r>
      <w:r>
        <w:rPr>
          <w:rFonts w:ascii="Times New Roman" w:cs="Times New Roman" w:eastAsia="Times New Roman" w:hAnsi="Times New Roman"/>
          <w:sz w:val="18"/>
          <w:szCs w:val="18"/>
          <w:i w:val="1"/>
          <w:iCs w:val="1"/>
          <w:color w:val="auto"/>
        </w:rPr>
        <w:t>Business—Government Regulation—Regulation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Outside of the United States</w:t>
      </w:r>
      <w:r>
        <w:rPr>
          <w:rFonts w:ascii="Times New Roman" w:cs="Times New Roman" w:eastAsia="Times New Roman" w:hAnsi="Times New Roman"/>
          <w:sz w:val="18"/>
          <w:szCs w:val="18"/>
          <w:color w:val="auto"/>
        </w:rPr>
        <w:t>” in the 2025 10-K.</w:t>
      </w:r>
    </w:p>
    <w:p>
      <w:pPr>
        <w:spacing w:after="0" w:line="296"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have obtained rare pediatric disease designation for KRRO-121 for the treatment of UCDs, we may not be eligible to receive a priority review voucher in the event the FDA determines we no longer meet the criteria for designation, revokes the designation or FDA approval does not occur prior to September 30, 2029.</w:t>
      </w:r>
    </w:p>
    <w:p>
      <w:pPr>
        <w:spacing w:after="0" w:line="6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sponsor of an application for a rare pediatric disease drug product may be eligible for a voucher that can be used or sold to obtain a priority review for a subsequent application submitted under section 505(b)(1) of the Federal Food, Drug, and Cosmetic Act or section 351 of the Public Health Service Act. Designation of a drug as a product for a rare pediatric disease does not guarantee that a marketing application for such drug will meet the eligibility criteria for a rare pediatric disease priority review voucher at the time the application is approved. Even though we have received rare pediatric disease designation for KRRO-121 for the treatment of UCDs, we would need to request a rare pediatric disease priority review voucher in the marketing application for KRRO-121. Vouchers for rare pediatric disease drugs are awarded for qualifying applications when the drug receives approval. After September 30, 2029, the FDA may not award any rare pediatric disease priority review vouchers, although the FDA’s authority to do so could be extended by Congress in the future.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Legal, and Clinical Trials</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REOs, which are considered a relatively new class of drugs, there is increased risk that the outcome of our clinical trials will not be sufficient to obtain regulatory approval.</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FDA and comparable ex-U.S. regulatory agencies have relatively limited experience with oligonucleotides, which may increase the complexity, uncertainty and length of the regulatory review process for any development candidates. Even though the FDA issued two draft guidance documents in December 2021 relating to IND submissions for individualized antisense oligonucleotide drugs for severely debilitating or life-threatening genetic diseases, one with clinical focus, the other with chemistry manufacturing and controls focus, and in June 2024 final guidance on clinical pharmacology considerations for the development of oligonucleotide therapeutics, the FDA and its foreign counterparts have not yet established any definitive policies, practices or guidelines in relation to overall development considerations for REO therapies. The general lack of policies, practices or guidelines specific to oligonucleotides may hinder or slow review by the FDA or other foreign regulatory agencies of any regulatory filings that we may submit. Moreover, the FDA or other foreign regulatory agencies may respond to these submissions by defining requirements we may not have anticipated. Addressing such requirements could lead to significant delays in the development of our development candidates. In addition, because there may be approved treatments for some of the diseases for which we may seek approval, in order to receive regulatory approval, we may need to demonstrate through clinical trials that the development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As a result of the foregoing factors, we may never receive regulatory approval to market and commercialize any development candidate. Even if we obtain regulatory approval, the approval may be for disease indications or patient populations that are not as broad as we intended or desired or may require labeling that includes significant use or distribution restrictions or safety warnings. We may be required to perform additional or unanticipated clinical trials to obtain regulatory approval or be subject to additional post-marketing studies or other requirements to maintain such approval. As a result, we may never succeed in developing a marketable product, we may not become profitable and the value of our common stock could decline.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development candidates in the field of genetic medicines in which there is little clinical experience, there is increased risk that the FDA, the EMA, HREC, TGA or other regulatory authorities may not consider the endpoints of our clinical trials to provide clinically meaningful results and that these results may be difficult to analyze.</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proceed into clinical development of KRRO-111 or any other development candidates we identify, and to initiate Part 2 of ANCHOR or other clinical trials of KRRO-121, we will need to submit INDs or comparable foreign applications to regulatory authorities and obtain regulatory clearance to commence clinical development. Because the development candidates we identify are based on novel gene-editing technology, we may be unsuccessful in obtaining clearance from regulatory authorities to proceed into clinical development. In order to commence clinical development, we will need to identify success criteria and endpoints such that the FDA, the EMA or other regulatory authorities will be able to determine the clinical efficacy and safety profile of any development candidates we may develop. As we are initially seeking to identify and develop development candidates to treat diseases in which there is little clinical experience using new technologies, and while we may have opportunities to discuss our clinical development plans with regulatory authorities prior to commencing clinical development, there is heightened risk that the FDA, the EMA, HREC, TGA or other regulatory authorities may not consider the clinical trial endpoints that we propose to provide clinically meaningful results (reflecting a tangible benefit to patients). For example, we intend to evaluate the clinical activity of KRRO-121 in UCD using measures that may include plasma ammonia levels. Regulatory authorities may not accept changes in ammonia levels or other biomarkers as a basis for approval and may instead require clinical outcome endpoints, such as a reduction in HACs, which could require larger and longer clinical trials. In addition, the resulting clinical data and results may be difficult to analyze.</w:t>
      </w:r>
    </w:p>
    <w:p>
      <w:pPr>
        <w:spacing w:after="0" w:line="8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Even if the FDA does find our success criteria to be sufficiently validated and clinically meaningful, we may not achieve the pre-specified endpoints to a degree of statistical significance. Furthermore,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European Union and other countries may make similar comments with respect to these endpoints and data. Any development candidates we may develop will be based on a novel technology that makes it difficult to predict the time and cost of development and of subsequently obtaining regulatory approval. No RNA editing therapeutic product has been approved in the United States or in Europe. Within the broader genome product field, only a limited number of gene therapy products have received marketing authorization or marketing approval from the European Commission or the FDA. Some of these products have taken years to register and have had to deal with significant issues in their post-marketing experience.</w:t>
      </w:r>
    </w:p>
    <w:p>
      <w:pPr>
        <w:spacing w:after="0" w:line="292"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we cannot predict when, or if, we will obtain regulatory approval to commercialize a development candidate and the approval may be for a narrower indication than we seek.</w:t>
      </w:r>
    </w:p>
    <w:p>
      <w:pPr>
        <w:spacing w:after="0" w:line="51"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8"/>
          <w:szCs w:val="18"/>
          <w:color w:val="auto"/>
        </w:rPr>
        <w:t>Prior to commercialization, any of our development candidates must be approved by the FDA pursuant to a new drug application, or NDA, in the United States and pursuant to similar marketing applications by the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development candidates involved. Failure to obtain marketing approval for a development candidate will prevent us from commercializing the development candidate. We have not received approval to market any of our development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w:t>
      </w:r>
    </w:p>
    <w:p>
      <w:pPr>
        <w:spacing w:after="0" w:line="84"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Securing marketing approval requires the submission of extensive preclinical and clinical data and supporting information to regulatory authorities for each therapeutic indication to establish the development candidate’s safety and efficacy. Securing marketing approval also requires the submission of information about the product manufacturing process to, and inspection of manufacturing facilities by, the regulatory authorities. Our development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development candidate.</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Approval of any of our development candidates may be delayed or refused for many reasons, including:</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development candidates are safe and effective for any of their proposed indications;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3" w:name="page54"/>
    <w:bookmarkEnd w:id="53"/>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development candidates’ clinical and other benefits outweigh their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programs or clinical trials;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development candidates may not be sufficient to support the submission of an NDA or other comparable submission in foreign jurisdictions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of third-party manufacturers with which we contract or procure certain service or raw materials, may not be adequate to support approval of our development candidates;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Even if our development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Regulatory authorities also may approve a development candidate for more limited indications than requested or they may impose significant limitations in the form of narrow indications, warnings or REMS. These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development candidates. Any of the foregoing scenarios could materially harm the commercial prospects for our development candidates and adversely affect our business, financial condition, results of operations and prospects.</w:t>
      </w:r>
    </w:p>
    <w:p>
      <w:pPr>
        <w:spacing w:after="0" w:line="291"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regulatory approval in the United States or foreign jurisdictions and, as a result, be unable to commercialize our development candidates and our ability to generate revenue will be materially impaired.</w:t>
      </w:r>
    </w:p>
    <w:p>
      <w:pPr>
        <w:spacing w:after="0" w:line="5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Our development candidates are subject to extensive governmental regulations relating to, among other things, research, testing, development, manufacturing, quality, safety, efficacy, approval, recordkeeping, reporting, labeling, storage, packaging, advertising and promotion, pricing, marketing and distribution of drugs. Rigorous preclinical studies and clinical trials, and an extensive regulatory approval process are required to be successfully completed in the United States and in many foreign jurisdictions before a new drug can be marketed. Satisfaction of these and other regulatory requirements is costly, time consuming, uncertain, and subject to a continuously evolving regulatory environment and unanticipated delays. It is possible that none of the development candidates we may develop will obtain the regulatory approvals necessary for us or our collaborators to begin selling them.</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time required to obtain FDA and other approvals is unpredictable but typically takes many years following the commencement of clinical trials, depending upon the type, complexity and novelty of the development candidate. The standards that the FDA and its foreign counterparts use when regulating companies such as ours are not always applied predictably or uniformly and can change. Any analysis we perform of data from chemistry, manufacturing and controls,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8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adversely affect our ability to generate revenues from the particular development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a condition of approval, which may impose further requirements or restrictions on the distribution or safe use of an approved drug, such as limiting prescribing rights to certain physicians or medical centers that have undergone specialized training, limiting treatment to patients as specially defined by the indication statement or who meet certain safe-use criteria, and requiring treated patients to enroll in a registry, among other requirements. These limitations and restrictions may limit the size of the market for the product and affect reimbursement by third-party payors.</w:t>
      </w:r>
    </w:p>
    <w:p>
      <w:pPr>
        <w:spacing w:after="0" w:line="8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payment. The foreign regulatory approval process varies among countries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ind w:right="180"/>
        <w:spacing w:after="0" w:line="282" w:lineRule="auto"/>
        <w:rPr>
          <w:sz w:val="20"/>
          <w:szCs w:val="20"/>
          <w:color w:val="auto"/>
        </w:rPr>
      </w:pPr>
      <w:r>
        <w:rPr>
          <w:rFonts w:ascii="Times New Roman" w:cs="Times New Roman" w:eastAsia="Times New Roman" w:hAnsi="Times New Roman"/>
          <w:sz w:val="18"/>
          <w:szCs w:val="18"/>
          <w:color w:val="auto"/>
        </w:rPr>
        <w:t>may include all of the risks associated with FDA approval described above, as well as risks attributable to the satisfaction of local regulations in foreign jurisdictions. Approval by the FDA does not ensure approval by comparable regulatory authorities outside of the United States and vice versa.</w:t>
      </w:r>
    </w:p>
    <w:p>
      <w:pPr>
        <w:spacing w:after="0" w:line="26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development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development candidates, when and if any of them are approved.</w:t>
      </w:r>
    </w:p>
    <w:p>
      <w:pPr>
        <w:spacing w:after="0" w:line="6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development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cGMPs, quality control, quality assurance and corresponding maintenance of records and documents, including periodic inspections by the FDA and other regulatory authorities and requirements regarding the distribution of samples to providers and recordkeeping.</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any approved product.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use of their products. If we promote our development candidates in a manner inconsistent with FDA-approved labeling or otherwise not in compliance with FDA regulations, we may be subject to enforcement action. Violations of the Federal Food, Drug, and Cosmetic Act relating to the promotion of prescription drugs may lead to investigations alleging violations of federal and state healthcare fraud and abuse laws, as well as state consumer protection laws and similar laws in international jurisdictions.</w:t>
      </w:r>
    </w:p>
    <w:p>
      <w:pPr>
        <w:spacing w:after="0" w:line="81"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development candidates, manufacturers or manufacturing processes, or failure to comply with regulatory requirements, may yield various results, including:</w:t>
      </w:r>
    </w:p>
    <w:p>
      <w:pPr>
        <w:spacing w:after="0" w:line="5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development candidates, manufacturers or manufacturing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any approved product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may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development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development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2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approvals, our marketed drugs will be subject to ongoing regulatory oversight. If we fail to comply with continuing U.S. and foreign requirements, our approvals, if obtained, could be limited or withdrawn, we could be subject to other penalties, and our business would be seriously harmed.</w:t>
      </w:r>
    </w:p>
    <w:p>
      <w:pPr>
        <w:spacing w:after="0" w:line="6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Following any initial regulatory approval of any drugs we may develop, we will also be subject to continuing regulatory oversight, including the review of adverse drug experiences and safety data that are reported after our drug products are made commercially available. This would include results from any post-marketing studies or surveillance to monitor the safety and efficacy</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55" w:name="page56"/>
    <w:bookmarkEnd w:id="55"/>
    <w:p>
      <w:pPr>
        <w:ind w:right="20"/>
        <w:spacing w:after="0" w:line="254" w:lineRule="auto"/>
        <w:rPr>
          <w:sz w:val="20"/>
          <w:szCs w:val="20"/>
          <w:color w:val="auto"/>
        </w:rPr>
      </w:pPr>
      <w:r>
        <w:rPr>
          <w:rFonts w:ascii="Times New Roman" w:cs="Times New Roman" w:eastAsia="Times New Roman" w:hAnsi="Times New Roman"/>
          <w:sz w:val="18"/>
          <w:szCs w:val="18"/>
          <w:color w:val="auto"/>
        </w:rPr>
        <w:t>of the drug product required as a condition of approval or agreed to by us. Any regulatory approvals that we receive for our development candidates may also be subject to limitations on the approved uses for which the product may be marketed. Other ongoing regulatory requirements include, among other things, submissions of safety and other post-marketing information and reports, registration and listing, as well as continued maintenance of our marketing application, compliance with cGMP requirements and quality oversight, compliance with post-marketing commitments, applicable product tracking and tracing requirements and compliance with GCP for any clinical trials that we conduct post-approval. Failure to comply with these requirements could result in warning or untitled letters, criminal or civil penalties, recalls, or product withdrawals. In addition, we intend to seek approval to market our development candidates in jurisdictions outside of the United States, and therefore will be subject to, and must comply with, regulatory requirements in those jurisdictions.</w:t>
      </w:r>
    </w:p>
    <w:p>
      <w:pPr>
        <w:spacing w:after="0" w:line="84"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FDA has significant post-market authority, including, for example, the authority to require labeling changes based on new safety information and to require post-market studies or clinical trials for a variety of reasons. The FDA also has the authority to require a REMS plan after approval, which may impose further requirements or restrictions on the distribution or use of an approved drug.</w:t>
      </w:r>
    </w:p>
    <w:p>
      <w:pPr>
        <w:spacing w:after="0" w:line="68"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our CMOs, and the manufacturing facilities we use to make our development candidates will also be subject to ongoing assessment of product quality, compliance with cGMP, and periodic inspection by the FDA and potentially other regulatory agencies. We or our CMOs may not be able to comply with applicable cGMP regulations or similar regulatory requirements outside of the United States. Our failure, or the failure of our CMOs, to comply with applicable regulations could result in regulatory actions, such as the issuance of FDA Form 483 notices of observations, warning letters or sanctions being imposed on us, including clinical holds, fines, injunctions, civil penalties, delays, suspension or withdrawal of approvals, license revocation, seizures or recalls of development candidates or drugs, operating restrictions and criminal prosecutions, any of which could significantly and adversely affect supplies of our products. We may not have the ability or capacity to manufacture material at a broader commercial scale in the future. We and our CMOs currently manufacture a limited supply of clinical trial materials. Reliance on CMOs entails risks to which we would not be subject if we manufactured all of the material ourselves, including reliance on the CMO for regulatory compliance. Our product promotion and advertising will also be subject to regulatory requirements and continuing regulatory review.</w:t>
      </w:r>
    </w:p>
    <w:p>
      <w:pPr>
        <w:spacing w:after="0" w:line="8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we or our collaborators, manufacturers or service providers fail to comply with applicable continuing regulatory requirements in the United States or foreign jurisdictions in which we may seek to market our products, we or they may be subject to, among other things, fines, warning letters, holds on clinical trials, refusal by the FDA or comparable foreign regulatory authorities to approve pending applications or supplements to approved applications, suspension or withdrawal of regulatory approval, product recalls and seizures, refusal to permit the import or export of products, operating restrictions, injunction, consent decree, civil penalties and criminal prosecution.</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newly-approved products is uncertain. Failure to obtain or maintain adequate coverage and reimbursement for our development candidates could limit our product revenues.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Because our development candidates represent new approaches to the treatment of genetic-based diseases, we cannot be sure that coverage and reimbursement will be available for, or accurately estimate the potential revenue from, our development candidates or assure that coverage and reimbursement will be available for any product that we may develop. The regulations that govern marketing approvals, pricing and reimbursement for new drugs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We are monitoring these regulations as several of our programs move into later stages of development; however, many of our programs are currently in the earlier stages of development and we will not be able to assess the impact of price regulations for a number of years. As a result, we might obtain regulatory approval for a product in a particular country, but then be subject to price regulations that could delay our commercial launch of the product and negatively impact any potential revenues we may be able to generate from the sale of the product in that country and potentially in other countries due to reference pricing. For more information, see Item 1 “</w:t>
      </w:r>
      <w:r>
        <w:rPr>
          <w:rFonts w:ascii="Times New Roman" w:cs="Times New Roman" w:eastAsia="Times New Roman" w:hAnsi="Times New Roman"/>
          <w:sz w:val="18"/>
          <w:szCs w:val="18"/>
          <w:i w:val="1"/>
          <w:iCs w:val="1"/>
          <w:color w:val="auto"/>
        </w:rPr>
        <w:t>Business –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Regulation – Pharmaceutical Coverage and Reimbursement” </w:t>
      </w:r>
      <w:r>
        <w:rPr>
          <w:rFonts w:ascii="Times New Roman" w:cs="Times New Roman" w:eastAsia="Times New Roman" w:hAnsi="Times New Roman"/>
          <w:sz w:val="18"/>
          <w:szCs w:val="18"/>
          <w:color w:val="auto"/>
        </w:rPr>
        <w:t>in the 2025 10-K.</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ability to commercialize any products successfully will also depend in part on the extent to which coverage and adequate reimbursement/payment for these products and related treatments will be available from government health administration authorities, private health insurers and other organizations. Even if we succeed in bringing one or more products to the market, these products may not be considered medically necessary and/or cost-effective, and the amount reimbursed for any products may be insufficient to allow us to sell our products on a competitive basis. At this time, we are unable to determine their cost effectiveness or the likely level or method of reimbursement for our development candidates. Increasingly, third-party payors, such as government and private insurance plans, are requiring that drug companies provide them with predetermined discounts from list prices, and are seeking to reduce the prices charged or the amounts paid for pharmaceutical products. If the price we are able to charge for any products we develop, or the payments provided for such products, is inadequate in light of our development and other costs, our return on investment could be adversely affected.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There may be significant delays in obtaining coverage for newly-approved drugs, and coverage may be more limited than the indications for which the drug is approved by the FDA or comparable foreign regulatory authorities. Patients who are prescribed medications for the treatment of their conditions, and their prescribing physicians, generally rely on third-party payors to pay all or part of the costs associated with their prescription drugs. Patients are unlikely to use our products unless coverage is provided and payment is adequate to cover all or a significant portion of the cost of our products. Therefore, coverage and adequate payment is critical to new product acceptance. Coverage decisions may depend upon clinical and economic standards that disfavor new drug products when more established or lower cost therapeutic alternatives are already available or subsequently become available. Moreover, eligibility for coverage does not imply that any drug will be paid for in all cases or at a rate that covers our costs, including research, development, manufacture, sale and distribution. Interim payments for new drugs, if applicable, may also not be sufficient to cover our costs and may not be made permanent. Reimbursement may be based on payments allowed for lower-cost drugs that are already reimbursed, may be incorporated into existing payments for other services and may reflect budgetary constraints or imperfections in Medicare data.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rates. However,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new drugs that we develop and for which we obtain regulatory approval could adversely affect our operating results, our ability to raise capital needed to commercialize products, and our overall financial condition.</w:t>
      </w:r>
    </w:p>
    <w:p>
      <w:pPr>
        <w:spacing w:after="0" w:line="83"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We believe that the efforts of governments and third-party payors to contain or reduce the cost of healthcare and legislative and regulatory proposals to broaden the availability of healthcare will continue to affect the business and financial condition of pharmaceutical and biopharmaceutical companies.</w:t>
      </w:r>
    </w:p>
    <w:p>
      <w:pPr>
        <w:spacing w:after="0" w:line="24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the EMA has granted orphan drug designation to KRRO-121 for the treatment of UCD, we may not be able to obtain or maintain orphan drug designation or exclusivity for KRRO-121 or our other development candidates, and even if we do, that exclusivity may not prevent the FDA or the EMA from approving other competing products.</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August 2026, we announced that the EMA granted orphan drug designation to KRRO-121 for the treatment of UCD. KRRO-121 has not received orphan drug designation from the FDA. Under the Orphan Drug Act, the FDA may designate a development candidate as an orphan drug if it is a drug intended to treat a rare disease or condition. A similar regulatory scheme governs approval of orphan development candidates by the EMA in the European Union. 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another development candidate for the same orphan therapeutic indication for that time period. The applicable period is seven years in the United States and ten years in the European Union. The exclusivity period in the European Union can be reduced to six years if a product no longer meets the criteria for orphan designation, in particular if the product is sufficiently profitable so that market exclusivity is no longer justified. In addition, orphan designation in the European Union is re-assessed at the time of marketing authorization, and because there are authorized treatments for UCD, we would need to demonstrate that KRRO-121 provides a significant benefit to patients affected by UCD in order to maintain its orphan designation and obtain market exclusivity in the European Union. We may not be able to make that showing.</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FDA’s standards for granting orphan drug exclusivity in the gene therapy context are unclear and evolving. In order for the FDA to grant orphan drug exclusivity to one of our development candidates, the agency must find that the development candidate is indicated for the treatment of a condition or disease that affects fewer than 200,000 individuals in the United States or that affects more than 200,000 individuals in the United States and for which there is no reasonable expectation that the cost of developing and making the development candidate available for the disease or condition will be recovered from sales of the product in the United States. The FDA may conclude that the condition or disease for which we seek orphan drug exclusivity does not meet this standard. Even if we obtain orphan drug exclusivity for a development candidate, that exclusivity may not effectively protect the development candidate from competition because different development candidates can be approved for the same approved use or condition. In addition, even after an orphan drug is approved, the FDA can subsequently approve the same development candidates for the same approved use or condition if the FDA concludes that the later development candidate is clinically superior in that it is shown to be safer, more effective or makes a major contribution to patient care compared with the product that has orphan exclusivity.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research, development and manufacturing processes involve the use of hazardous materials. We maintain quantities of various flammable and toxic chemicals in our facilities that are required for our research, development and manufacturing activities. We are subject to federal, state and local laws and regulations governing the use, manufacture, storage, handling and disposal of these hazardous materials. Our procedures for storing, handling and disposing of these materials are reviewed against the relevant guidelines and laws of the jurisdictions in which our facilities are located on a regular basis. Although we believe that our safety procedures for handling and disposing of these materials sufficiently mitigate the risk of accidental contamination or injury from these materials, the risk cannot be completely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become applicable in the future. We may incur substantial costs to comply with, and substantial fines or penalties if we violate any of, these laws or regulations.</w:t>
      </w:r>
    </w:p>
    <w:p>
      <w:pPr>
        <w:spacing w:after="0" w:line="29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manufacturers, service providers or other third parties fail to comply with applicable healthcare laws and regulations, we could be subject to enforcement actions, which could affect our ability to develop, market and sell our products and may harm our reputation.</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 xml:space="preserve">We are currently, and may in the future be, subject to extensive federal, state, local, and comparable foreign healthcare laws and regulations, including those relating to fraud and abuse, anti-kickback restrictions, false claims, transparency and reporting, patient privacy and data protection, and anti-bribery and related requirements, which may constrain the business or financial arrangements and relationships through which we conduct our operations, including how we research, develop, market, sell, and distribute our products for which we obtain marketing approval. The scope and enforcement of these laws is uncertain, subject to rapid change, and dependent on evolving government and industry interpretations, and authorities have increased scrutiny of interactions between healthcare companies and healthcare providers and third-party payors. If our operations are found to be in violation of applicable requirements, we may be subject to penalties and other sanctions, which may include civil or criminal penalties, criminal prosecution, monetary damages, disgorgement, contractual damages, reputational harm, curtailment or restructuring of our operations, exclusion from participation in federal and state healthcare programs (including Medicare and Medicaid), the imposition of a corporate integrity agreement, suspension or withdrawal of product approvals, restrictions or prohibitions on marketing, and other enforcement actions. Any investigation or enforcement action, even if ultimately resolved favorably, could cause us to incur significant legal and compliance expenses, divert management attention, and adversely affect our business, financial condition, results of operations, and prospects. We intend to develop and implement a comprehensive corporate compliance program prior to commercialization; however, compliance programs can mitigate but cannot eliminate the risk of noncompliance and related enforcement. For more information, see Item 1, </w:t>
      </w:r>
      <w:r>
        <w:rPr>
          <w:rFonts w:ascii="Times New Roman" w:cs="Times New Roman" w:eastAsia="Times New Roman" w:hAnsi="Times New Roman"/>
          <w:sz w:val="18"/>
          <w:szCs w:val="18"/>
          <w:i w:val="1"/>
          <w:iCs w:val="1"/>
          <w:color w:val="auto"/>
        </w:rPr>
        <w:t>“Business—Governmental Regulation—Other Healthcare Laws”</w:t>
      </w:r>
      <w:r>
        <w:rPr>
          <w:rFonts w:ascii="Times New Roman" w:cs="Times New Roman" w:eastAsia="Times New Roman" w:hAnsi="Times New Roman"/>
          <w:sz w:val="18"/>
          <w:szCs w:val="18"/>
          <w:color w:val="auto"/>
        </w:rPr>
        <w:t xml:space="preserve"> in the 2025 10-K.</w:t>
      </w:r>
    </w:p>
    <w:p>
      <w:pPr>
        <w:spacing w:after="0" w:line="8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Moreover, federal, state or foreign laws or regulations are subject to change, and while we, our collaborators, manufacturers and/or service providers currently may be compliant, that could change due to changes in interpretation, prevailing industry standards or other reasons.</w:t>
      </w:r>
    </w:p>
    <w:p>
      <w:pPr>
        <w:spacing w:after="0" w:line="84"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European Union Member States, such as the U.K. Bribery Act 2010. Infringement of these laws could result in substantial fines and imprisonment.</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8" w:name="page59"/>
    <w:bookmarkEnd w:id="58"/>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and collaborators may engage in misconduct or other improper activities, including noncompliance with regulatory standards and requirements.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and other misconduct by our employees, consultants and collaborators. Such misconduct could include intentional failures to comply with FDA and other foreign agency regulations, provide accurate information to the FDA, comply with manufacturing standards required by the FDA or us,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serious harm to our reputation. It is not always possible to identify and deter such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medicines that we may develop.</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in human clinical trials of any development candidates we may develop and will face an even greater risk if we commercially sell any products that we may develop. If we cannot successfully defend ourselves against claims that our development candidates or medicines caused injuries, we could incur substantial liabilities. Regardless of merit or eventual outcome, liability claims may result in:</w:t>
      </w:r>
    </w:p>
    <w:p>
      <w:pPr>
        <w:spacing w:after="0" w:line="72"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medicines that we may develop.</w:t>
      </w:r>
    </w:p>
    <w:p>
      <w:pPr>
        <w:spacing w:after="0" w:line="11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currently maintain clinical trial insurance, and we anticipate that we will need to increase our insurance coverage as we expand ANCHOR to include patients and additional jurisdictions, initiate additional clinical trials and if we successfully commercialize any product. Insurance coverage is increasingly expensive. We may not be able to maintain insurance coverage at a reasonable cost or in an amount adequate to satisfy any liability that may arise.</w:t>
      </w:r>
    </w:p>
    <w:p>
      <w:pPr>
        <w:spacing w:after="0" w:line="28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and information systems, or those used by our CROs, CMOs or other contractors or consultants, may fail or suffer security breaches, which could result in a material disruption of our development programs.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Despite the implementation of appropriate security measures, our internal computer and information systems and those of our current and any future CROs, CMOs and other contractors or consultants may become vulnerable to damage from computer viruses, unauthorized access, natural disasters, terrorism, war and telecommunication and electrical failures.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data from completed or future preclinical studies or clinical trials could result in significant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development candidates could be significantly delayed.</w:t>
      </w:r>
    </w:p>
    <w:p>
      <w:pPr>
        <w:spacing w:after="0" w:line="29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from cybersecurity incidents or data breaches, which could result in the disclosure of confidential information, damage our reputation, and subject us to significant financial and legal exposure.</w:t>
      </w:r>
    </w:p>
    <w:p>
      <w:pPr>
        <w:spacing w:after="0" w:line="5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We and the third parties upon which we rely face a variety of evolving threats, which could cause cybersecurity incidents or data breaches. Cybersecurity incidents and data breaches are increasing in their frequency, sophistication and intensity, and have become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59" w:name="page60"/>
    <w:bookmarkEnd w:id="59"/>
    <w:p>
      <w:pPr>
        <w:ind w:right="360"/>
        <w:spacing w:after="0" w:line="261" w:lineRule="auto"/>
        <w:rPr>
          <w:sz w:val="20"/>
          <w:szCs w:val="20"/>
          <w:color w:val="auto"/>
        </w:rPr>
      </w:pPr>
      <w:r>
        <w:rPr>
          <w:rFonts w:ascii="Times New Roman" w:cs="Times New Roman" w:eastAsia="Times New Roman" w:hAnsi="Times New Roman"/>
          <w:sz w:val="18"/>
          <w:szCs w:val="18"/>
          <w:color w:val="auto"/>
        </w:rPr>
        <w:t>increasingly difficult to detect. Cybersecurity incidents and data breaches could include wrongful conduct by hostile foreign governments, industrial espionage, wrongful conduct by employees or vendors, human error, wire fraud and other forms of cyber fraud, the deployment of harmful malware or ransomware, denial-of-service attacks, social engineering fraud (including successful phishing attacks) or other means to threaten data confidentiality, integrity and availability.</w:t>
      </w:r>
    </w:p>
    <w:p>
      <w:pPr>
        <w:spacing w:after="0" w:line="7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Like other companies in our industry, we and our third party vendors, have experienced, or may experience, threats and cybersecurity incidents relating to our and our third-party vendors’ information systems and infrastructure. While we have not experienced any material cybersecurity incident or data breach to date, if such an event were to occur, it could cause serious negative consequences for us, including, without limitation, the disruption of operations, the misappropriation of confidential business information, including financial information, trade secrets, financial loss and the disclosure of corporate strategic plans.</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Although we devote resources to protect our information systems, there can be no assurance that our efforts will prevent cybersecurity incidents or data breaches that could result in business, legal, financial or reputational harm to us, or would have a material adverse effect on our results of operations and financial condition. Attempts to disrupt or gain unauthorized access to our and our third-party vendors’ information systems from malicious third parties or insider threats may incorporate widely varying and frequently changing tactics, which may be enhanced or facilitated by artificial intelligence. Further, our contracts may not contain limitations of liability, and even where they do, there can be no assurance that limitations of liability in our contracts are sufficient to protect us from liabilities, damages, or claims related to our privacy and data security obligations. Although we maintain cyber liability insurance, this insurance may not provide adequate coverage against potential liabilities related to any experienced cybersecurity incident or breach. For additional information on our cybersecurity obligations as well as our cybersecurity program, see Item 1 “</w:t>
      </w:r>
      <w:r>
        <w:rPr>
          <w:rFonts w:ascii="Times New Roman" w:cs="Times New Roman" w:eastAsia="Times New Roman" w:hAnsi="Times New Roman"/>
          <w:sz w:val="18"/>
          <w:szCs w:val="18"/>
          <w:i w:val="1"/>
          <w:iCs w:val="1"/>
          <w:color w:val="auto"/>
        </w:rPr>
        <w:t>Business—Government Regulation—Privacy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and Item 1C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in the 2025 10-K.</w:t>
      </w:r>
    </w:p>
    <w:p>
      <w:pPr>
        <w:spacing w:after="0" w:line="29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development candidates outside the United States.</w:t>
      </w:r>
    </w:p>
    <w:p>
      <w:pPr>
        <w:spacing w:after="0" w:line="51" w:lineRule="exact"/>
        <w:rPr>
          <w:sz w:val="20"/>
          <w:szCs w:val="20"/>
          <w:color w:val="auto"/>
        </w:rPr>
      </w:pPr>
    </w:p>
    <w:p>
      <w:pPr>
        <w:ind w:right="260" w:firstLine="509"/>
        <w:spacing w:after="0" w:line="255" w:lineRule="auto"/>
        <w:rPr>
          <w:sz w:val="20"/>
          <w:szCs w:val="20"/>
          <w:color w:val="auto"/>
        </w:rPr>
      </w:pPr>
      <w:r>
        <w:rPr>
          <w:rFonts w:ascii="Times New Roman" w:cs="Times New Roman" w:eastAsia="Times New Roman" w:hAnsi="Times New Roman"/>
          <w:sz w:val="18"/>
          <w:szCs w:val="18"/>
          <w:color w:val="auto"/>
        </w:rPr>
        <w:t>To market and sell our future development candidates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development candidates in certain countries.</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we fail to comply with the regulatory requirements in international markets and receive applicable marketing approvals, our target market will be reduced and our ability to realize the full market potential of our development candidates will be harmed and our business will be adversely affected. We may not obtain foreign regulatory approvals on a timely basis, if at all. Our failure to obtain approval of any of our development candidates by regulatory authorities in another country may significantly diminish the commercial prospects of that development candidate and our business prospects could decline.</w:t>
      </w:r>
    </w:p>
    <w:p>
      <w:pPr>
        <w:spacing w:after="0" w:line="284"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SEC and other government agencies caused by staffing cuts,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staffing,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Currently, most federal agencies, including the FDA, are operating under a continuing resolution that funds the federal government through December 11, 2026. Without appropriation of adequate funding to federal agencies, our business operations related to our product development activities for the U.S. market could be impacted. A prolonged government shutdown could significantly impact the ability of the FDA to timely review and process our regulatory submissions, the National Institutes of Health, or NIH, to conduct research or provide grants, or other agencies to slow their work, which could have a material adverse effect on our business. Further, future government shutdowns could impact our ability to access the public markets and obtain necessary capital in order to properly capitalize and continue our operations.</w:t>
      </w:r>
    </w:p>
    <w:p>
      <w:pPr>
        <w:spacing w:after="0" w:line="86"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Disruptions at the FDA and other federal agencies, including substantial leadership departures, personnel cuts, and policy changes, may also slow the time necessary for new drugs to be reviewed and/or approved, which would harm our business. Changes and cuts in FDA staffing have been reported by some within the pharmaceutical industry as creating instances of delays in the FDA’s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ind w:right="700"/>
        <w:spacing w:after="0" w:line="282" w:lineRule="auto"/>
        <w:rPr>
          <w:sz w:val="20"/>
          <w:szCs w:val="20"/>
          <w:color w:val="auto"/>
        </w:rPr>
      </w:pPr>
      <w:r>
        <w:rPr>
          <w:rFonts w:ascii="Times New Roman" w:cs="Times New Roman" w:eastAsia="Times New Roman" w:hAnsi="Times New Roman"/>
          <w:sz w:val="18"/>
          <w:szCs w:val="18"/>
          <w:color w:val="auto"/>
        </w:rPr>
        <w:t>responsiveness or in its ability to review regulatory submissions or applications, issue regulations or guidance, or implement or enforce regulatory requirements in a timely fashion.</w:t>
      </w:r>
    </w:p>
    <w:p>
      <w:pPr>
        <w:spacing w:after="0" w:line="5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There is substantial uncertainty as to the extent and manner in which the current administration will continue to seek to modify or revise the requirements and policies of the FDA and other regulatory agencies with jurisdiction over our development candidates and any products for which we obtain approval. This uncertainty could present new challenges and/or opportunities as we navigate development and approval of our development candidates. Additionally, the current administration could issue or promulgate executive orders, regulations, policies or guidance that adversely affect us or create a more challenging or costly environment to pursue the development of new therapeutic candidates. Also, state governments may seek to address or react to changes at the federal level with changes to their regulatory frameworks in a manner that could impact our operations.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collaborators and our service providers may be subject to a variety of privacy and data security laws, regulations and contractual obligations, and our failure to comply with them could harm our business.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maintain a large quantity of sensitive information, including confidential business and personal and health information of participants in our clinical trials, including ANCHOR, and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new laws continue to be proposed. Outside of the United States, many jurisdictions have enacted stringent privacy and data protection laws. The collection, use, disclosure, transfer or other processing of personal data originating from the European Economic Area, or EEA, and United Kingdom is governed by the General Data Protection Regulation, or EU GDPR, and the UK General Data Protection Regulation, or UK GDPR, which, together with the EU GDPR, is referred to as the GDPR. In Australia, where we are conducting Part 1 of ANCHOR, we and our service providers may be subject to the Privacy Act 1988 (Cth), including the Australian Privacy Principles, and to state and territory health records laws. For additional information on these regimes, see Item 1 “</w:t>
      </w:r>
      <w:r>
        <w:rPr>
          <w:rFonts w:ascii="Times New Roman" w:cs="Times New Roman" w:eastAsia="Times New Roman" w:hAnsi="Times New Roman"/>
          <w:sz w:val="18"/>
          <w:szCs w:val="18"/>
          <w:i w:val="1"/>
          <w:iCs w:val="1"/>
          <w:color w:val="auto"/>
        </w:rPr>
        <w:t>Business—Government Regulation—Privacy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in the 2025 10-K. Compliance with these and any other applicable privacy and data security laws and regulations is a rigorous and time-intensive process, and we may be required to put in place additional mechanisms to ensure compliance, and despite those efforts, if we fail to comply with any such laws or regulations, we may face significant fines and penalties that could adversely affect our reputation, business, financial condition and results of operations.</w:t>
      </w:r>
    </w:p>
    <w:p>
      <w:pPr>
        <w:spacing w:after="0" w:line="30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use of new and evolving technologies, such as artificial intelligence, or AI, in our offerings may result in spending material resources and presents risks and challenges that can impact our business including by posing security and other risks to our confidential information, proprietary information and personal information, and as a result we may be exposed to reputational harm and liability.</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may use and integrate AI into our business processes both in our own development and implementation of AI and through the adoption of commercially available tools. Use of this technology could pose cybersecurity, data privacy, IT, intellectual property, regulatory, legal, operational, competitive, reputational and other risks and challenges that could affect our business. Specifically, risks related to accuracy, bias, artificial intelligence hallucinations, discrimination, harmful content, misinformation, fraud, scams, targeted attacks (including model poisoning or data poisoning), surveillance, data leakage, inequality, environmental harms, and other harms may flow from our development, use, or deployment of AI technologies.</w:t>
      </w:r>
    </w:p>
    <w:p>
      <w:pPr>
        <w:spacing w:after="0" w:line="7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use of certain AI technology can give rise to intellectual property risks, including by disclosing or otherwise compromising our confidential or proprietary intellectual property and intellectual property infringement, or by undermining our ability to assert or defend ownership rights in intellectual property created with the assistance of AI tools.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we expect to see increasing government and supranational regulation related to AI use and ethics, which may also significantly increase the burden and cost of research, development and compliance in this area. For example, the European Union began implementing the Artificial Intelligence Act, or AI Act, with a significant part of the law scheduled to come into effect in August 2026. As currently enacted, the AI Act, which may be amended, imposes significant obligations on providers and deployers of high risk AI systems, and encourages providers and deployers of AI systems to account for EU ethical principles in their development and use of these systems.</w:t>
      </w:r>
    </w:p>
    <w:p>
      <w:pPr>
        <w:spacing w:after="0" w:line="7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the AI regulatory environment is complex and uncertain. Over the past year, states have advanced, and in some cases passed, dozens of laws focusing on AI governance and regulation, including on deployment of AI in healthcare settings. At the federal level, the current U.S. administration has endorsed a federal moratorium on the enforcement of state AI laws, including through a December 2025 executive order. So far, these efforts have not been successful at curtailing state action on AI regulation, contributing to a complicated legislative patchwork, which may be litigated in state and federal courts. If we develop or deploy AI systems that are governed by these laws or regulations, we will need to adopt higher standards of data quality, transparency, and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1" w:name="page62"/>
    <w:bookmarkEnd w:id="61"/>
    <w:p>
      <w:pPr>
        <w:ind w:right="240"/>
        <w:spacing w:after="0" w:line="282" w:lineRule="auto"/>
        <w:rPr>
          <w:sz w:val="20"/>
          <w:szCs w:val="20"/>
          <w:color w:val="auto"/>
        </w:rPr>
      </w:pPr>
      <w:r>
        <w:rPr>
          <w:rFonts w:ascii="Times New Roman" w:cs="Times New Roman" w:eastAsia="Times New Roman" w:hAnsi="Times New Roman"/>
          <w:sz w:val="18"/>
          <w:szCs w:val="18"/>
          <w:color w:val="auto"/>
        </w:rPr>
        <w:t>human oversight, and adhere to specific and potentially burdensome and costly ethical, accountability, and administrative requirements. We may also be subject to significant enforcement or litigation in the event of any perceived non-compliance.</w:t>
      </w:r>
    </w:p>
    <w:p>
      <w:pPr>
        <w:spacing w:after="0" w:line="5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rapid evolution of AI will require the application of significant resources to help ensure that AI is implemented in accordance with applicable law and regulation and in a socially responsible manner and to minimize any real or perceived unintended harmful impacts. If we enable or offer solutions that draw controversy due to perceived or actual negative societal impact, we may experience brand or reputational harm, competitive harm or legal liability. Our vendors may in turn incorporate AI tools into their own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Third Party Relationships</w:t>
      </w:r>
    </w:p>
    <w:p>
      <w:pPr>
        <w:spacing w:after="0" w:line="117"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employees’ or consultants’ former employers or their clients. These claims may be costly to defend and if we do not successfully do so, we may be required to pay monetary damages and may lose valuable intellectual property rights or personnel.</w:t>
      </w:r>
    </w:p>
    <w:p>
      <w:pPr>
        <w:spacing w:after="0" w:line="6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development candidates, which could severely harm our business. Even if we are successful in defending against these claims, litigation could result in substantial costs and be a distraction to management.</w:t>
      </w:r>
    </w:p>
    <w:p>
      <w:pPr>
        <w:spacing w:after="0" w:line="29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including ANCHOR, and some aspects of our research, as well as some aspects of our delivery methods, and those third parties may not perform satisfactorily, including failing to meet deadlines for the completion of such trials, research or testing.</w:t>
      </w:r>
    </w:p>
    <w:p>
      <w:pPr>
        <w:spacing w:after="0" w:line="6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currently, and expect to continue to, rely on third parties, such as CROs, clinical data management organizations, medical institutions, preclinical laboratories and clinical investigators, to conduct some aspects of our research and clinical trials. We rely on CROs and on clinical investigators at clinical trial sites in Australia to conduct Part 1 of ANCHOR, and we expect to rely on additional CROs, investigators and sites, which may be located in other jurisdictions, for Part 2 of ANCHOR. For example, we may rely on third parties to conduct some of our preclinical animal experiments and supply key materials for our programs. Any of these third parties may terminate their engagements with us at any time under certain criteria. If we need to enter into alternative arrangements, we may delay our product development activities.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the EMA and other regulatory authorities require us and the study sites and investigators we work with to comply with standards, commonly referred to as GLPs and GCPs for conducting, recording and reporting the results of preclinical studies and clinical trials to assure, amongst other things, that data and reported results are credible and accurate and that the rights, integrity and confidentiality of trial participants are protected.</w:t>
      </w:r>
    </w:p>
    <w:p>
      <w:pPr>
        <w:spacing w:after="0" w:line="29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finding strategic collaborators for continuing development of certain of our development candidates or successfully commercializing or competing in the market for certain indications.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may decide to collaborate with non-profit organizations, universities, pharmaceutical and other biotechnology companies for the development and potential commercialization of existing and new development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development candidate, the costs and complexities of manufacturing and delivering such development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development candidates or technologies for similar indications that may be available to collaborate on and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2" w:name="page63"/>
    <w:bookmarkEnd w:id="62"/>
    <w:p>
      <w:pPr>
        <w:ind w:right="200"/>
        <w:spacing w:after="0" w:line="256" w:lineRule="auto"/>
        <w:rPr>
          <w:sz w:val="20"/>
          <w:szCs w:val="20"/>
          <w:color w:val="auto"/>
        </w:rPr>
      </w:pPr>
      <w:r>
        <w:rPr>
          <w:rFonts w:ascii="Times New Roman" w:cs="Times New Roman" w:eastAsia="Times New Roman" w:hAnsi="Times New Roman"/>
          <w:sz w:val="18"/>
          <w:szCs w:val="18"/>
          <w:color w:val="auto"/>
        </w:rPr>
        <w:t>whether such a collaboration could be more attractive than the one with us for its development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 Even when we enter into collaborations such agreements may terminate earlier than expected and we may never see the full benefits of such agreement. For example, we agreed with Novo Nordisk to pause our September 2024 collaboration for 12 months and Novo Nordisk recently exercised its rights to terminate early for convenience.</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development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development candidates or bring them to market and generate product revenue.</w:t>
      </w:r>
    </w:p>
    <w:p>
      <w:pPr>
        <w:spacing w:after="0" w:line="7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development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or strategic alliances could disrupt our business and harm our financial condition and results of operations.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79"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divestitures due to potential exclusivity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5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our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anticipate that we will rely, on third parties to design, conduct, supervise and monitor our preclinical studies and clinical trials, and if those third parties perform in an unsatisfactory manner, it may harm our business.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rely, and anticipate that we will rely, on third party clinical investigators, CROs, clinical data management organizations and consultants to design, conduct, supervise and monitor preclinical studies and clinical trials of our development candidates. Because we rely on third parties and do not have the ability to conduct preclinical studies or clinical trials independently, we have less control over the timing, quality and other aspects of preclinical studies and clinical trials than we would if we conducted them on own, including our inability to control whether sufficient resources are applied to our programs. If any of our CROs are acquired or consolidated, these concerns are likely to be exacerbated and our preclinical studies or clinical trials may be further impacted due to potential integration, streamlining, staffing and logistical changes.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Further, these third parties may not be diligent, careful or timely in conducting our preclinical studies or clinical trials, resulting in the preclinical studies or clinical trials being delayed or unsuccessful.</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preclinical and clinical development programs could be delayed and otherwise adversely affected. In all events, we are responsible for ensuring that each of our preclinical studies and clinical trials is conducted in accordance with the general investigational plan and protocols for the trial. The FDA and other health authorities require certain preclinical studies to be conducted in accordance with GLP, and clinical trials to be conducted in accordance with GCP, including conducting, recording and reporting the results of clinical trials to assure that data and reported results are credible and accurate and that the rights, integrity and confidentiality of clinical trial participants are protected. If we or our CROs fail to comply with these requirements, the data generated in our clinical trials may be deemed unreliable or uninterpretable and the FDA and other health authorities may require us to perform additional clinical trials. Our reliance on third parties that we do not control does not relieve us of these responsibilities and requirements. In the United States, we are also required to register certain clinical trials and post the results of completed clinical trials on a government-sponsored database, ClinicalTrials.gov, within certain timeframes. Failure to do so can result in fines, adverse publicity and civil and criminal sanctions. Any such event could adversely affect our business, financial condition, results of operations and prospects.</w:t>
      </w:r>
    </w:p>
    <w:p>
      <w:pPr>
        <w:spacing w:after="0" w:line="29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in the supply and manufacture of our lead candidates and development candidates for our research, preclinical and clinical activities, and may do the same for commercial supplies of our lead candidates or development candidates.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not yet manufactured our development candidates on a commercial scale, and may not be able to do so for any of our development candidates. We currently rely on third parties in the supply and manufacture of materials for our research, preclinical and clinical activities and may continue to do so for the foreseeable future, including if we received regulatory approval for any development candidate. We may do the same for the commercial supply of our drug product. We use third parties to perform additional steps in the manufacturing process, such as the filling, finishing and labeling of vials and storage of our development candidates and we expect to do so for the foreseeable future. There can be no assurance that our supply of research, preclinical and clinical development drug candidates and other materials will not be limited, interrupted or restricted or will be of satisfactory quality or continue to be available at acceptable prices. Replacement of any of the third parties we may engage could require significant effort and expertise because there may be a limited number of qualified replacements. In addition, raw materials, reagents, and components used in the manufacturing process, particularly those for which we have no other source or supplier, may not be available, may not be suitable or acceptable for use due to material or component defects, or may introduce variability into the supply of our development candidates. Furthermore, with the increase of companies developing nucleic acid therapeutics, there may be increased competition for the supply of the raw materials that are necessary to make our REOs, which could severely impact the manufacturing of our development candidates.</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they must be acceptable to the FDA or approved by foreign regulatory authorities. Suppliers and manufacturers, including us, must meet applicable manufacturing requirements, including compliance with cGMP regulations, and undergo rigorous facility and process validation tests required by regulatory authorities in order to comply with regulatory standards. In the event that any of our suppliers or manufacturers fail to comply with such requirements or to perform their obligations to us in relation to quality, timing or otherwise, some of which may be out of their or our control, or if our supply of components or other materials becomes limited or interrupted for other reasons, we may be forced to increase the manufacturing of the materials ourself, for which we currently have limited capabilities and resources, or enter into an agreement with another third party, which we may not be able to do on reasonable terms, if at all. Any interruption of the development or operation of the manufacturing of our development candidates, such as order delays for equipment or materials, equipment malfunction, quality control and quality assurance issues, regulatory delays and possible negative effects of such delays on supply chains and expected timelines for product availability, production yield issues, shortages of qualified personnel, discontinuation of a facility or business or failure or damage to a facility resulting from natural disasters, could result in the cancellation of shipments, loss of product in the manufacturing process or a shortfall in available lead candidates and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4" w:name="page65"/>
    <w:bookmarkEnd w:id="64"/>
    <w:p>
      <w:pPr>
        <w:spacing w:after="0" w:line="255" w:lineRule="auto"/>
        <w:rPr>
          <w:sz w:val="20"/>
          <w:szCs w:val="20"/>
          <w:color w:val="auto"/>
        </w:rPr>
      </w:pPr>
      <w:r>
        <w:rPr>
          <w:rFonts w:ascii="Times New Roman" w:cs="Times New Roman" w:eastAsia="Times New Roman" w:hAnsi="Times New Roman"/>
          <w:sz w:val="18"/>
          <w:szCs w:val="18"/>
          <w:color w:val="auto"/>
        </w:rPr>
        <w:t>development candidates or materials. In some cases, the technical skills or technology required to manufacture our lead candidates and development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lead candidates and development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lead candidates and development candidates in a timely manner or within budget.</w:t>
      </w:r>
    </w:p>
    <w:p>
      <w:pPr>
        <w:spacing w:after="0" w:line="8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may also be required to enter into long-term manufacturing agreements that contain exclusivity provisions and/or substantial termination penalties which could have a material adverse effect on our business prior to or after commercialization of any of our development candidates. If we are unable to obtain or maintain third-party manufacturing for development candidates, or to do so on commercially reasonable terms, we may not be able to develop and commercialize our development candidates successfully. Failure to execute on our manufacturing requirements, either by us or by one of our third-party vendors, could adversely affect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Personnel, Operations and Growth</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key management and scientists, staff, consultants and advisors, our ability to implement our business plan may be adversely affected.</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are highly dependent upon our senior management and our scientific, clinical and medical staff and advisors. The loss of the service of any of the members of our senior management or other key employees could delay our research and development programs and materially harm our business, financial condition, results of operations and prospects. Although we implemented workforce reductions in May 2025 and in November 2025, we expect that we will continue to have an increased need to recruit and hire qualified personnel as we advance our programs and expand operations. Our recent workforce reductions could impede future recruiting and hiring efforts. Failure to successfully recruit and retain personnel could impact our anticipated development plans and timelines. For example, we have faced challenges in retaining and attracting employees to support our research and development efforts, and our failure to do so could have an adverse effect on our ability to execute on our business plan. We are dependent on the continued service of our technical personnel because of the highly technical and novel nature of our lead candidates, development candidates, platform and technologies and the specialized nature of the regulatory approval process. Replacing such personnel may be difficult and may take an extended period of time because of the limited number of individuals in our industry with the breadth of skills and experience required to successfully execute our business strategy, and we cannot assure you that we will be able to identify or employ qualified personnel for any such position on acceptable terms, if at all. Many of the biotechnology and pharmaceutical companies with whom we compete for qualified personnel have greater financial and other resources, different risk profiles and longer histories in the industry than we do. Because our management team and key employees are not obligated to provide us with continued service, they could terminate their employment with us at any time without penalty. We do not maintain key person life insurance policies on any of our management team members or key employees. Our future success will depend in large part on our continued ability to attract and retain highly qualified scientific, technical and management personnel, as well as personnel with expertise in preclinical and clinical testing, manufacturing, governmental regulation and commercialization. In order to do so, we may need to pay higher compensation or fees to our employees or consultants than we currently expect, and such higher compensation payments may have a negative effect on our operating results. We face increased competition for personnel from other companies, universities, public and private research institutions, government entities and other organizations. If we are unable to attract and retain qualified personnel, the rate and success at which we may be able to discover and develop our development candidates and implement our business plan will be limited.</w:t>
      </w:r>
    </w:p>
    <w:p>
      <w:pPr>
        <w:spacing w:after="0" w:line="292" w:lineRule="exact"/>
        <w:rPr>
          <w:sz w:val="20"/>
          <w:szCs w:val="20"/>
          <w:color w:val="auto"/>
        </w:rPr>
      </w:pPr>
    </w:p>
    <w:p>
      <w:pPr>
        <w:ind w:right="5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expect to need to expand our research, development, delivery, manufacturing, commercialization, regulatory and future sales and marketing capabilities over time, and as a result, we may encounter difficulties in managing our future growth, which could disrupt our operations.</w:t>
      </w:r>
    </w:p>
    <w:p>
      <w:pPr>
        <w:spacing w:after="0" w:line="2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September 30, 2026, we had 58 full-time employees, including 42 who hold Ph.D. degrees or other advanced degrees; 44 employees are engaged in research and development and 14 employees are engaged in management or general and administrative activities. In May 2025, we announced a workforce reduction and organizational streamlining and in November 2025, we announced a further workforce reduction to extend our cash runway. In connection with the growth and advancement of our pipeline, we expect that we will need to increase the number of our employees and the scope of our operations, particularly in the areas of drug development, regulatory affairs, and as any development candidates near later stage clinical trials and potential commercialization by us, and sales and marketing. To manage our anticipated future growth, we must continue to implement and improve our managerial, operational and financial systems, expand our facilities, and continue to recruit and train additional qualified personnel. Our workforce reduction may make these efforts more challenging. Due to our limited financial resources and the limited experience of our management team in managing a company with such anticipated growth, we may not be able to effectively manage the expected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ind w:right="400"/>
        <w:spacing w:after="0" w:line="282" w:lineRule="auto"/>
        <w:rPr>
          <w:sz w:val="20"/>
          <w:szCs w:val="20"/>
          <w:color w:val="auto"/>
        </w:rPr>
      </w:pPr>
      <w:r>
        <w:rPr>
          <w:rFonts w:ascii="Times New Roman" w:cs="Times New Roman" w:eastAsia="Times New Roman" w:hAnsi="Times New Roman"/>
          <w:sz w:val="18"/>
          <w:szCs w:val="18"/>
          <w:color w:val="auto"/>
        </w:rPr>
        <w:t>future expansion of our operations or recruit and train additional qualified personnel. Any inability to manage growth could delay the execution of our business plans or disrupt our operations.</w:t>
      </w:r>
    </w:p>
    <w:p>
      <w:pPr>
        <w:spacing w:after="0" w:line="5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As a pre-commercial biotechnology company, we are actively pursuing new platforms and lead candidates in many therapeutic areas and across a wide range of diseases. Successfully developing development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and recent workforce reductions, we may not be able to effectively manage this simultaneous execution and the expansion of our operations or, when appropriate, recruit and train additional qualified personnel. This may result in weaknesses in our infrastructure, give rise to operational mistakes, legal or regulatory compliance failures, loss of business opportunities, further loss of employees and reduced productivity among remaining employees. The physical expansion of our operations may lead to significant costs and may divert financial resources from other projects, such as the development of our potential development candidates. If our management is unable to effectively manage the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any development candidates we may develop will depend in part on our ability to effectively manage our future development and expansion.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protect intellectual property rights related to any of our lead candidates and development candidates, development and commercialization of our development candidates may be adversely affected.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our industry, the majority of an innovative product’s commercial value is usually realized during the period in which it has market exclusivity. Market exclusivity is comprised of both patent and other intellectual property protection, as well as regulatory exclusivity. In the United States and some other countries, when market exclusivity expires and generic versions of a product are approved and marketed, there usually are very substantial and rapid declines in the product’s sales. Accordingly, our success depends in part on our ability to obtain and maintain patents and other forms of intellectual property rights, including trademarks, trade secrets and, where necessary in-licenses of intellectual property rights of others, in the United States and in other countries for our development candidates and platform technologies, as well as for methods used to manufacture our development candidates, and methods for treating patients for approved indications using our development candidates, as well as our ability to preserve our trade secrets, to prevent third parties from infringing upon our proprietary rights and to operate without infringing upon the proprietary rights of others. Certain research and development activities involved in pharmaceutical development are exempt from patent infringement in the United States and other jurisdictions, for example, in the United States by the provisions of 35 U.S.C. § 271I(1), or the Safe Harbor. However, in the United States and certain other jurisdictions, the Safe Harbor exemption can terminate when the sponsor submits an application for marketing approval (e.g., an NDA in the United States). Therefore, the risk that a third party might allege patent infringement may increase as our development candidates approach commercialization.</w:t>
      </w:r>
    </w:p>
    <w:p>
      <w:pPr>
        <w:spacing w:after="0" w:line="8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granted patents will be sufficient to stop a competitor from developing and commercializing a product. Furthermore, any successful challenge to these patents or any other patents owned by or licensed to us in the future after patent issuance could deprive us of rights necessary for the successful commercialization of any of our development candidates. Further, if we encounter delays in regulatory approvals, the period of time during which we could market a development candidate under patent protection could be reduced.</w:t>
      </w:r>
    </w:p>
    <w:p>
      <w:pPr>
        <w:spacing w:after="0" w:line="7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apply for patents or obtain patent protection on certain aspects of our development candidates or our RNA editing platform OPERA in a timely fashion or at all. 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We may not be able to obtain or maintain patent applications and patents due to the subject matter claimed in such patent applications and patents being in the public domain.</w:t>
      </w:r>
    </w:p>
    <w:p>
      <w:pPr>
        <w:spacing w:after="0" w:line="7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development candidates, platform technologies, or any methods relating to them, or to provide meaningful protection from competitors. Consequently, it is unknown whether our platform technology or development candidates will be protectable or remain protected by valid and enforceable patents. Any failure to obtain, maintain or defend our patents and other intellectual property could have a material adverse effect on our business, financial conditions, results of operations and prospects.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6" w:name="page67"/>
    <w:bookmarkEnd w:id="66"/>
    <w:p>
      <w:pPr>
        <w:ind w:firstLine="509"/>
        <w:spacing w:after="0" w:line="254" w:lineRule="auto"/>
        <w:rPr>
          <w:sz w:val="20"/>
          <w:szCs w:val="20"/>
          <w:color w:val="auto"/>
        </w:rPr>
      </w:pPr>
      <w:r>
        <w:rPr>
          <w:rFonts w:ascii="Times New Roman" w:cs="Times New Roman" w:eastAsia="Times New Roman" w:hAnsi="Times New Roman"/>
          <w:sz w:val="18"/>
          <w:szCs w:val="18"/>
          <w:color w:val="auto"/>
        </w:rPr>
        <w:t>We cannot be certain that we are the first to invent the inventions covered by pending patent applications and, if they are not, we may be subject to entitlement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Because patent applications in the United States and other countries are confidential for a period of time after filing, at any moment in time, we cannot be certain that we were in the past or will be in the future the first to file any patent application related to our development candidates. For example, some patent applications in the United States may be maintained in secrecy until the patents are issued. Further, publications in the scientific literature often lag behind actual discoveries. Consequently, we cannot be certain that others have not filed patent applications for technology covered by our owned and issued patents or pending applications, or that we or, if applicable, a licensor were the first to invent or first to file an application for the technology.</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can be highly uncertain and involves complex legal and factual questions. As a result, the issuance, scope, validity, enforceability and commercial value of any patent rights are highly uncertain. We will be able to protect our proprietary rights from unauthorized use by third parties only to the extent that our current and future proprietary technology and development candidates are covered by valid and enforceable patents or are effectively maintained as trade secrets. If third parties disclose or misappropriate our proprietary rights, it may materially and adversely impact our position in the market.</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patents or patent applications may exist, or may arise in the future, for example with respect to proper priority claims, inventorship, claim scope, or requests for patent term adjustments. If there are material defects in the form, preparation, prosecution, maintenance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Legal issues related to the patentability of biopharmaceuticals, and methods of their manufacture and use, are complex and uncertain in some countries. In some countries, applicants are not able to protect methods of treating human beings or medical treatment processes. Intellectual property protection varies throughout the world and is subject to change over time. Certain jurisdictions have enacted various rules and laws precluding issuance of patents encompassing any methods a doctor may practice on a human being or any other animal to treat a disease or condition. Further, many countries have enacted laws and regulatory regimes that do not allow patent protection for methods of use of known compounds. Thus, in some countries and jurisdictions, it may not be possible to patent some of our lead candidates and development candidates at all. In some countries and jurisdictions, only composition claims may be obtained, and only when those compositions are or contain compounds that are new and/or novel. Also, patents issued with composition claims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covering lead candidates and development candidates) cannot always be enforced to protect methods of using those compositions to treat or diagnose diseases or medical conditions. Legal systems in certain countries may not favor enforcement or protection of patents, trade secrets and other intellectual property. Lack of intellectual property protection in such cases may have a materially adverse effect on our business and financial condition.</w:t>
      </w:r>
    </w:p>
    <w:p>
      <w:pPr>
        <w:spacing w:after="0" w:line="84"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7"/>
          <w:szCs w:val="17"/>
          <w:color w:val="auto"/>
        </w:rPr>
        <w:t>Furthermore, given the amount of time required for the development, testing and regulatory review of new development candidates, patents protecting such candidates, their manufacture or their use might expire before or shortly after those candidates receive regulatory approval and are commercialized. As a result, our patent portfolio may not provide us with sufficient rights to exclude others from commercializing products similar or identical to ours. We expect to seek extensions of patent terms where these are available upon regulatory approval in those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possible.</w:t>
      </w:r>
    </w:p>
    <w:p>
      <w:pPr>
        <w:spacing w:after="0" w:line="6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U.S. Patent and Trademark Office, or USPTO, and various foreign governmental patent agencies require compliance with a number of procedural, documentary, fee payment and other provisions during the patent prosecution process. There are situations in which noncompliance can result in abandonment or lapse of a patent or patent application, or loss of right to enforce patent claims,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uniform, can vary substantially from country to country, and are not always applied predictably, requiring country-specific patent expertise in each jurisdiction in which patent protection is sought. For example, there is no uniform worldwide policy regarding patentable subject matter or the scope of claims allowable in biotechnology and pharmaceutical patents. As such, we do not know the degree of future protection that we will have on our lead candidates, development candidates and RNA editing technology. While we will endeavor to try to protect our lead candidates, development candidates and RNA editing technology with intellectual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ind w:right="20"/>
        <w:spacing w:after="0" w:line="282" w:lineRule="auto"/>
        <w:rPr>
          <w:sz w:val="20"/>
          <w:szCs w:val="20"/>
          <w:color w:val="auto"/>
        </w:rPr>
      </w:pPr>
      <w:r>
        <w:rPr>
          <w:rFonts w:ascii="Times New Roman" w:cs="Times New Roman" w:eastAsia="Times New Roman" w:hAnsi="Times New Roman"/>
          <w:sz w:val="18"/>
          <w:szCs w:val="18"/>
          <w:color w:val="auto"/>
        </w:rPr>
        <w:t>property rights such as patents, as appropriate, the process of filing and prosecuting patent applications, and obtaining, maintaining and defending patents is time-consuming, expensive, uncertain, and sometimes unpredictable.</w:t>
      </w:r>
    </w:p>
    <w:p>
      <w:pPr>
        <w:spacing w:after="0" w:line="26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pending patent applications may not issue as patents, and even issued patents may not provide sufficient protection of our RNA editing platform OPERA, our lead candidates and our development candidates.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to claims directed toward the technology underlying our OPERA platform, our patents and patent applications contain claims directed to compositions of matter on the active pharmaceutical ingredients, or APIs, in our lead candidates and development candidates, as well as methods-of-use directed to the use of an API for a specified treatment. Composition-of-matter patents on the active pharmaceutical ingredient in prescription drug products provide protection without regard to any particular method of use of the API used. Method-of-use patents do not prevent a competitor or other third party from developing or marketing an identical product for an indication that is outside the scope of the patented method. Moreover, with respect to method-of-use patents, even if competitors or other third parties do not actively promote their product for our targeted indications or uses for which we may obtain patents, providers may recommend that patients use these products off-label, or patients may do so themselves. Although off-label use may infringe or contribute to the infringement of method-of-use patents, the practice is common and this type of infringement is difficult to prevent or prosecute.</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The patent applications that we own or may in-license in the future may fail to issue as patents with claims that cover our lead candidates and development candidates or uses thereof in the United States or in other foreign countries. For example, while our patent applications are pending, we may be subject to a third party preissuance submission of prior art to the USPTO or become involved derivation proceedings, or equivalent proceedings in foreign jurisdictions.</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Even if patents do successfully issue, third parties may challenge our patents based on inventorship, validity, enforceability or scope, including through opposition,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 adverse determination in any such proceeding or litigation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development candidates. Furthermore, even if they are unchallenged, our patents and patent applications may not adequately protect our intellectual property or prevent others from designing around our claims. Moreover, some of our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lead candidates and development candidates is threatened, it could dissuade companies from collaborating with us to develop, and threaten our ability to commercialize our development candidates. Further, if we encounter delays in development, testing, and regulatory review of new development candidates, the period of time during which we could market our development candidates under patent protection would be reduced.</w:t>
      </w:r>
    </w:p>
    <w:p>
      <w:pPr>
        <w:spacing w:after="0" w:line="2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development candidates.</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technologies.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Our competitors may have filed, and may in the future file, patent applications covering our products or technology similar to our own. Any such patent application may have priority over our patent applications or patents, which could require us to obtain rights to issued patents covering such technologies.</w:t>
      </w:r>
    </w:p>
    <w:p>
      <w:pPr>
        <w:spacing w:after="0" w:line="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programs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ind w:right="260"/>
        <w:spacing w:after="0" w:line="261" w:lineRule="auto"/>
        <w:rPr>
          <w:sz w:val="20"/>
          <w:szCs w:val="20"/>
          <w:color w:val="auto"/>
        </w:rPr>
      </w:pPr>
      <w:r>
        <w:rPr>
          <w:rFonts w:ascii="Times New Roman" w:cs="Times New Roman" w:eastAsia="Times New Roman" w:hAnsi="Times New Roman"/>
          <w:sz w:val="18"/>
          <w:szCs w:val="18"/>
          <w:color w:val="auto"/>
        </w:rPr>
        <w:t>determination of the expiration date of any patent in the United States or abroad that we consider relevant may be incorrect. Our failure to identify and correctly interpret relevant patents may negatively impact our ability to develop and market our products. Moreover, it is also possible that prior art may exist that we are aware of but do not believe is relevant to our current or future patents, but that could nevertheless be determined to render our patents invalid.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which could be expensive, time consuming and unsuccessful.</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Competitors may infringe the patents for which we have applied. To counter infringement or unauthorized use, we may be required to initiate legal proceedings to enforce our patent rights, which can be expensive and time-consuming. If we initiate legal proceedings against a third party to enforce a patent covering one of our development candidates, the defendant could counterclaim that the patent covering our product or development candidate is invalid and/or unenforceable. In patent litigation in the United States,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for example, lack of novelty, lack of written disclosure, obviousness, or non-enablement. Grounds for an unenforceability assertion could be an allegation that someone connected with prosecution of the patent withheld relevant information from the USPTO, or made a misleading statement, during prosecution. The outcome of patent litigation is often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one or more of our products or certain aspects of our platform technology. Further, a court or administrative body could construe certain patent claims narrowly or refuse to prevent the other party from using the technology at issue on the ground that our patents do not cover the technology.</w:t>
      </w:r>
    </w:p>
    <w:p>
      <w:pPr>
        <w:spacing w:after="0" w:line="8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equivalent proceedings in foreign jurisdictions (for example, opposition proceedings). Such proceedings could result in revocation of or amendment to our patents in such a way that they no longer cover our lead candidates and development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lead candidates and development candidates. An adverse result in any litigation or defense proceedings could put one or more of our patents at risk of being invalidated or interpreted narrowly, could put our patent applications at risk of not issuing and could have a material adverse impact on our business. Such a loss of patent protection could negatively impact our business. Patents and other intellectual property rights also will not protect our technology if competitors design around our protected technology without legally infringing our patents or other intellectual property rights.</w:t>
      </w:r>
    </w:p>
    <w:p>
      <w:pPr>
        <w:spacing w:after="0" w:line="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Even if we establish infringement of any of our patents by a third party, a court may decide not to grant an injunction against further infringing activity, thus allowing the competitive product to continue to be marketed by the competitor. It is difficult to obtain an injunction in U.S. litigation and a court could decide that the competitor should instead pay us a “reasonable royalty” as determined by the court, and/or other monetary damages. A reasonable royalty or other monetary damages may or may not be an adequate remedy. Loss of exclusivity and/or competition from a related product would have a material adverse impact on our business.</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we in-license patent rights in the future, we may not have the right to file a lawsuit for infringement and may have to rely on a licensor to enforce these rights for us. If we are not able to directly assert our licensed patent rights against infringers or if a licensor does not vigorously prosecute any infringement claims on our behalf, we may have difficulty competing in certain markets where such potential infringers conduct their business, and our commercialization efforts may suffer as a result.</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or our future licensors, as the case may be, may not be able to detect infringement against our owned or in-licensed patents, which may be especially difficult for manufacturing processes or formulation patents. Even if we or our future licensors detect infringement by a third party of owned or future in-licensed patents, we or our licensors, as the case may be, may choose not to pursue litigation against or settlement with the third party. If we or our licensors later sue such third party for patent infringement, the third party may have certain legal defenses available to it that otherwise would not be available but for the delay between when the infringement was first detected and when the suit was brought. These legal defenses may make it impossible for us or our licensors to enforce owned or future in-licensed patents, as the case may be, against that third party.</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delay or otherwise interfere with our product discovery and development efforts.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development candidates and use our proprietary technologies without infringing, misappropriating or otherwise violating the intellectual property or proprietary rights of third parties.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There is a substantial amount of litigation involving patents and other intellectual property rights in the biotechnology and pharmaceutical industries, as well as administrative proceedings for challenging patents, including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development candidates and/or proprietary technologies infringe, misappropriate or otherwise violate their intellectual property rights.</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Numerous U.S. and foreign issued patents and pending patent applications that are owned by third parties exist in the fields in which we are developing our development candidates. As the biotechnology and pharmaceutical industries expand and more patents are issued, the risk increases that our development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development candidates, technologies or methods. We are aware of competitors in the oligonucleotide space whose patent application filings and/or issued patents may include claims directed to technologies and/or products related to some of our programs and development candidates. For example, we are aware of patents and patent applications owned by third parties that have generic claims that may relate to our technologies and products.</w:t>
      </w:r>
    </w:p>
    <w:p>
      <w:pPr>
        <w:spacing w:after="0" w:line="84"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our intellectual property rights, we may face a number of issues, including, but not limited to:</w:t>
      </w:r>
    </w:p>
    <w:p>
      <w:pPr>
        <w:spacing w:after="0" w:line="54" w:lineRule="exact"/>
        <w:rPr>
          <w:sz w:val="20"/>
          <w:szCs w:val="20"/>
          <w:color w:val="auto"/>
        </w:rPr>
      </w:pPr>
    </w:p>
    <w:p>
      <w:pPr>
        <w:ind w:left="1020" w:right="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that, regardless of merit, may be expensive and time-consuming to litigate and may divert our management’s attention from our core business;</w:t>
      </w:r>
    </w:p>
    <w:p>
      <w:pPr>
        <w:spacing w:after="0" w:line="53"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development candidate or technology at issue infringes on or violates the third party’s rights, and, if the court finds that the infringement was willful, we could be ordered to pay treble damages plus the patent owner’s attorneys’ fees;</w:t>
      </w:r>
    </w:p>
    <w:p>
      <w:pPr>
        <w:spacing w:after="0" w:line="67" w:lineRule="exact"/>
        <w:rPr>
          <w:rFonts w:ascii="Times New Roman" w:cs="Times New Roman" w:eastAsia="Times New Roman" w:hAnsi="Times New Roman"/>
          <w:sz w:val="18"/>
          <w:szCs w:val="18"/>
          <w:color w:val="auto"/>
        </w:rPr>
      </w:pPr>
    </w:p>
    <w:p>
      <w:pPr>
        <w:ind w:left="1020" w:right="60" w:hanging="503"/>
        <w:spacing w:after="0" w:line="312" w:lineRule="auto"/>
        <w:tabs>
          <w:tab w:leader="none" w:pos="10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court prohibiting us from developing, manufacturing, marketing or selling our development candidates, or from using our proprietary technologies, unless the third party licenses its product rights to us, which it is not required to do, on commercially reasonable terms or at all;</w:t>
      </w:r>
    </w:p>
    <w:p>
      <w:pPr>
        <w:spacing w:after="0" w:line="31" w:lineRule="exact"/>
        <w:rPr>
          <w:rFonts w:ascii="Times New Roman" w:cs="Times New Roman" w:eastAsia="Times New Roman" w:hAnsi="Times New Roman"/>
          <w:sz w:val="17"/>
          <w:szCs w:val="17"/>
          <w:color w:val="auto"/>
        </w:rPr>
      </w:pPr>
    </w:p>
    <w:p>
      <w:pPr>
        <w:ind w:left="1020" w:right="4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development candidates;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redesign our development candidates or processes so they do not infringe,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including by enforcing its patents against us by filing a patent infringement lawsuit against us. In this regard, patents issued in the United States by law enjoy a presumption of validity that can be rebutted only with evidence that is “clear and convincing,” a heightened standard of proof.</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There may be third-party patents of which we are currently unaware with claims to materials, formulations, methods of manufacture or methods for treatment related to the use or manufacture of our lead candidates or development candidates. Because patent applications can take many years to issue, there may be currently pending patent applications that may later result in issued patents that our lead candidates or development candidates may infringe. In addition, third parties may obtain patents in the future and claim that use of our technologies infringes upon these patents.</w:t>
      </w:r>
    </w:p>
    <w:p>
      <w:pPr>
        <w:spacing w:after="0" w:line="7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If any third-party patents were held by a court of competent jurisdiction to cover the manufacturing process of our lead candidates or development candidates, or materials used in or formed during the manufacturing process, or any final product itself, the holders of those patents may be able to block our ability to commercialize our development candidate unless we obtain a license under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0" w:name="page71"/>
    <w:bookmarkEnd w:id="70"/>
    <w:p>
      <w:pPr>
        <w:ind w:right="20"/>
        <w:spacing w:after="0" w:line="253" w:lineRule="auto"/>
        <w:rPr>
          <w:sz w:val="20"/>
          <w:szCs w:val="20"/>
          <w:color w:val="auto"/>
        </w:rPr>
      </w:pPr>
      <w:r>
        <w:rPr>
          <w:rFonts w:ascii="Times New Roman" w:cs="Times New Roman" w:eastAsia="Times New Roman" w:hAnsi="Times New Roman"/>
          <w:sz w:val="18"/>
          <w:szCs w:val="18"/>
          <w:color w:val="auto"/>
        </w:rPr>
        <w:t>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development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development candidates may be impaired or delayed, which could significantly harm our business. Even if we obtain a license, it may be non-exclusive, thereby giving our competitors access to the same technologies licensed to it. In addition, if the breadth or strength of protection provided by our patents and patent applications is threatened, it could dissuade companies from collaborating with us to license, develop or commercialize current or future development candidates.</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development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development candidates and we may fail to obtain any of these licenses at a reasonable cost or on reasonable terms, if at all. In that event, we would be unable to further develop and commercialize our development candidates, which could significantly harm our business.</w:t>
      </w:r>
    </w:p>
    <w:p>
      <w:pPr>
        <w:spacing w:after="0" w:line="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Likewise, our patents and patent applications, if issued as patents, directed to our proprietary technologies, lead candidates and development candidates are expected to expire from 2040 through 2046, without taking into account any possible patent term adjustments or extensions. Our earliest in-licensed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spacing w:after="0" w:line="7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or our future licensors, collaborators or strategic partners may be subject to third-party claims for infringement or misappropriation of patent or other proprietary rights. We may be generally obligated under our future potential license or collaboration agreements to indemnify and hold harmless our licensors or collaborators for damages arising from intellectual property infringement by us. If we or our future licensors, collaborators or strategic partners are found to infringe a third-party patent or other intellectual property rights, we could be required to pay damages, potentially including treble damages, if we are found to have willfully infringed. In addition, we or our future licensors, collaborators or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it. If we fail to obtain a required license, we or our future collaborators may be unable to effectively market development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8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Additionally, we may be required to protect our patents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acquiring or in-licensing necessary rights to key technologies or any development candidates we may develop.</w:t>
      </w:r>
    </w:p>
    <w:p>
      <w:pPr>
        <w:spacing w:after="0" w:line="121"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future growth of our business may depend in part on our ability to in-license or otherwise acquire the rights to additional development candidates and technologies. There has been extensive patenting activity in the field of gene editing. Pharmaceutical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ind w:right="180"/>
        <w:spacing w:after="0" w:line="254" w:lineRule="auto"/>
        <w:rPr>
          <w:sz w:val="20"/>
          <w:szCs w:val="20"/>
          <w:color w:val="auto"/>
        </w:rPr>
      </w:pPr>
      <w:r>
        <w:rPr>
          <w:rFonts w:ascii="Times New Roman" w:cs="Times New Roman" w:eastAsia="Times New Roman" w:hAnsi="Times New Roman"/>
          <w:sz w:val="18"/>
          <w:szCs w:val="18"/>
          <w:color w:val="auto"/>
        </w:rPr>
        <w:t>companies, biotechnology companies and academic institutions are competing with us or are expected to compete with us in the field of gene editing technology and filing patent applications potentially relevant to our business. In order to market our development candidates, we may find it necessary or prudent to obtain licenses from third-party intellectual property holders. However, we may be unable to secure such licenses or otherwise acquire or in-license any compositions, methods of use, processes, or other intellectual property rights from third parties that we identify as necessary to develop or commercialize our development candidates or other key technologies. We may also require licenses from third parties for certain additional technologies, including technologies relating to RNA editing, such as guide RNA modification, or target sequences as well as delivery technologies for development candidates we may develop. We may not be able to obtain such a license on an exclusive basis, on commercially reasonable terms, or at all, which could prevent us from commercializing our development candidates or allow our competitors or other third parties the chance to access technology that is important to our business.</w:t>
      </w:r>
    </w:p>
    <w:p>
      <w:pPr>
        <w:spacing w:after="0" w:line="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we may collaborate with academic institutions to accelerate our research or development under written agreements with these institutions. In certain cases, these institutions may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and if we are successful in obtaining an in-license, such collaboration may make us subject to governmental step-in rights under the Bayh-Dole Act. If we are unable to do so, such institution may offer the intellectual property rights to others, potentially blocking our ability to pursue our program.</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licensing or acquisition of third-party intellectual property rights is a highly competitive area, and a number of more established companies are also pursuing strategies to license or acquire third-party intellectual property rights that it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It is possible that we may be unable to obtain required licenses at a reasonable cost or on reasonable terms, if at all. Even if we are able to obtain a license, we may be non-exclusive, thereby giving our competitors access to the same technologies licensed to us. In that event, we may be required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programs, which could harm our business, financial condition, results of operations, and prospects significantly.</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Disputes may arise between us and our future licensors regarding intellectual property subject to a license agreement, including: the scope of rights granted under the license agreement and other interpretation- 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future licensors and us and our partners; and the priority of invention of patented technology.</w:t>
      </w:r>
    </w:p>
    <w:p>
      <w:pPr>
        <w:spacing w:after="0" w:line="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obtain rights to required third party intellectual property rights or maintain the existing intellectual property rights we have, we may have to abandon development of the relevant program or development candidate, which could have a material adverse effect on our business, financial condition, results of operations and prospects.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and other intellectual property.</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80"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consultants, or advisors have wrongfully used or disclosed confidential information or misappropriated trade secrets.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that are currently or were previously employed at universities, research institutions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inadvertently or otherwise used or disclosed intellectual property, including trade secrets or other proprietary information, of any such individual’s current or former employer. Also, we have in the past and may in the future be subject to claims that these individuals are violating non-compete agreements with their former employers. We may then have to pursue litigation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300"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applications are due to be paid to the USPTO and foreign patent agencies outside of the United States over the lifetime of our owned or licensed patents and applications. The USPTO and foreign patent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While an inadvertent lapse can be cured by payment of a late fee or by other means in accordance with the applicable rules, there are situations, however, in which non-compliance can result a partial or complete loss of patent rights in the relevant jurisdiction. Were a noncompliance event to occur, our competitors might be able to enter the market with similar or identical products or technology, which could have a material adverse effect on our business, financial condition, results of operations, and prospects.</w:t>
      </w:r>
    </w:p>
    <w:p>
      <w:pPr>
        <w:spacing w:after="0" w:line="29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and proprietary rights throughout the world.</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lead candidates and development candidates in all countries throughout the world would be prohibitively expensive, and our intellectual property rights in some countries outside the United States can be less extensive than those in the United States. In addition, the laws of foreign countries do not protect intellectual property rights to the same extent as federal and state laws of the United States. In addition, our intellectual property license agreements may not always include worldwide rights.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development candidates and our patents or other intellectual property rights may not be effective or sufficient to prevent them from competing.</w:t>
      </w:r>
    </w:p>
    <w:p>
      <w:pPr>
        <w:spacing w:after="0" w:line="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against third parties in violation of our intellectual property and proprietary rights generally. Proceedings to enforce our patents and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Moreover, the initiation of proceedings by third parties to challenge the scope or validity of our patent rights in foreign jurisdictions could result in substantial cost and divert our efforts and attention</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3" w:name="page74"/>
    <w:bookmarkEnd w:id="73"/>
    <w:p>
      <w:pPr>
        <w:ind w:right="80"/>
        <w:spacing w:after="0" w:line="282" w:lineRule="auto"/>
        <w:rPr>
          <w:sz w:val="20"/>
          <w:szCs w:val="20"/>
          <w:color w:val="auto"/>
        </w:rPr>
      </w:pPr>
      <w:r>
        <w:rPr>
          <w:rFonts w:ascii="Times New Roman" w:cs="Times New Roman" w:eastAsia="Times New Roman" w:hAnsi="Times New Roman"/>
          <w:sz w:val="18"/>
          <w:szCs w:val="18"/>
          <w:color w:val="auto"/>
        </w:rPr>
        <w:t>from other aspects of our business. Accordingly, our efforts to enforce our intellectual property and proprietary rights around the world may be inadequate to obtain a significant commercial advantage from the intellectual property that we develop or license.</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Further, filing, prosecuting and defending patents on programs worldwide would be prohibitively expensive and our intellectual property rights in some foreign jurisdictions can be less extensive than those in the United States.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RNA editing platform technology, lead candidates and development candidates.</w:t>
      </w:r>
    </w:p>
    <w:p>
      <w:pPr>
        <w:spacing w:after="0" w:line="5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is the case with other biotech and 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could increase the uncertainties and costs surrounding the prosecution of patent applications and the enforcement or defense of our issued patents and pending patent applications. For example, in March 2013, under the Leahy-Smith America Invents Act, or the America Invents Act, the United States transitioned from a “first to invent” to a “first-to-file” patent system. Under a “first-to-file” system, assuming that other requirements for patentability are met, the first inventor to file a patent application generally will be entitled to a patent on an invention regardless of whether another inventor had made the invention earlier.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Because patent applications in the United States and most other countries are confidential for a period of time after filing or until issuance, we cannot be certain that we or our licensors were the first to either file any patent application related to our technology or lead candidates and development candidates or to invent any of the inventions claimed in our or our licensor’s patents or patent applications. The America Invents Act also includes a number of other significant changes to U.S. patent law, including provisions that affect the way patent applications are prosecuted, allowing third party submission of prior art and establishing a post-grant review system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recent U.S. Supreme Court and U.S. Court of Appeals for the Federal Circuit rulings have narrowed the scope of patent protection available in certain circumstances and weakened the rights of patent owners in certain situations. In addition to increasing uncertainty with regard to our ability to obtain patents in the future, these rulings have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future decisions by the courts, the U.S. Congress or the USPTO may impact the value of our patents. Any adverse changes in the patent laws of other jurisdictions could also have a material adverse effect on our business, financial condition, results of operations and prospects.</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patent applications and the maintenance, enforcement or defense of issued patents. Accordingly, our competitive position may be impaired, and our business, financial condition, results of operations and prospects may be adversely affected.</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recently the European Unified Patent Court, or UPC, was created as a common patent court to hear patent infringement and revocation proceedings effective for member states of the EU. This could enable third parties to seek revocation of a European patent in a single proceeding at the UPC rather than through multiple proceedings in each of the jurisdictions in which the European patent is validated. Although we do not currently own any European patents, if we obtain such patents and applications in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4" w:name="page75"/>
    <w:bookmarkEnd w:id="74"/>
    <w:p>
      <w:pPr>
        <w:jc w:val="both"/>
        <w:ind w:right="420"/>
        <w:spacing w:after="0" w:line="256" w:lineRule="auto"/>
        <w:rPr>
          <w:sz w:val="20"/>
          <w:szCs w:val="20"/>
          <w:color w:val="auto"/>
        </w:rPr>
      </w:pPr>
      <w:r>
        <w:rPr>
          <w:rFonts w:ascii="Times New Roman" w:cs="Times New Roman" w:eastAsia="Times New Roman" w:hAnsi="Times New Roman"/>
          <w:sz w:val="18"/>
          <w:szCs w:val="18"/>
          <w:color w:val="auto"/>
        </w:rPr>
        <w:t>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to seeking patents for our technology, lead candidates and development candidates, we also rely on know-how and trade secret protection, as well as confidentiality agreements, non-disclosure agreements and invention assignment agreements with our employees, consultants and third-parties, to protect our confidential and proprietary information, especially where we does not believe patent protection is appropriate or obtainable.</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It is our policy to require our employees, corporate collaborators, outside scientific collaborators, CROs, contract manufacturers, consultants, advisors, and other third parties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Additionally,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In addition,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w:t>
      </w:r>
    </w:p>
    <w:p>
      <w:pPr>
        <w:spacing w:after="0" w:line="8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some courts inside and outside the United States are sometimes less willing or unwilling to protect trade secrets. If we choose to go to court to stop a third party from using any of our trade secrets, we may incur substantial costs. Even if we are successful, these types of lawsuits may consume our time and other resources. Any of the foregoing could have a material adverse effect on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development candidates for an adequate amount of time.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Patents have a limited lifespan. The terms of individual patents depend upon the legal term for patents in the countries in which they are granted. In most countries, including the United States, if all maintenance fees are timely paid, the natural expiration of a patent is generally 20 years from its earliest non-provisional filing date in the applicable country.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Various extensions including Patent Term Extension, or PTE, and Patent Term Adjustment, or PTA, may be available, but the life of a patent, and the protection it affords, is limited. For more information regarding PTA and PTE, see Item 1 “</w:t>
      </w:r>
      <w:r>
        <w:rPr>
          <w:rFonts w:ascii="Times New Roman" w:cs="Times New Roman" w:eastAsia="Times New Roman" w:hAnsi="Times New Roman"/>
          <w:sz w:val="18"/>
          <w:szCs w:val="18"/>
          <w:i w:val="1"/>
          <w:iCs w:val="1"/>
          <w:color w:val="auto"/>
        </w:rPr>
        <w:t>Business—Intellectual Property</w:t>
      </w:r>
      <w:r>
        <w:rPr>
          <w:rFonts w:ascii="Times New Roman" w:cs="Times New Roman" w:eastAsia="Times New Roman" w:hAnsi="Times New Roman"/>
          <w:sz w:val="18"/>
          <w:szCs w:val="18"/>
          <w:color w:val="auto"/>
        </w:rPr>
        <w:t>” in the 2025 10-K. Even if patents covering our development candidates are obtained, once the patent life has expired, we may be open to competition from competitive products, including generics. Given the amount of time required for the development, testing and regulatory review of new development candidates, patents protecting our development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PTE and data exclusivity for any development candidates we may develop, our business may be materially harmed.</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development candidates we may develop, one or more of our U.S. patents may be eligible for limited PTE under the Drug Price Competition and Patent Term Restoration Act of 1984, or the Hatch-Waxman Amendments. The Hatch-Waxman Amendments PTE term of up to five years as compensation for patent term lost during the FDA regulatory review process. A PTE cannot extend the remaining term of a patent beyond a total of 14 years from the date of product approval, only one patent per product may be extended and only those claims covering the approved drug, a method for using it, or a method for manufacturing it may be extended. However, even if we were to seek a PTE,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or the scope of patent protection afforded could be less than we request. If we are unable to obtain PTE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development candidates we may develop will eventually become commercially available in generic or biosimilar product forms;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gene therapy products that are similar to any development candidates we may develop or utilize similar base editing technology but that are not covered by the claims of the patents that we may own in the future;</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license partners or collaborators, might not have been the first to make the inventions covered by the issued patent or pending patent application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license partners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license partners or collaborators, may fail to meet our obligations to the U.S. government regarding any in-licensed patents and patent applications funded by U.S. government grants, leading to the loss or unenforceability of patent rights;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own in the future will not lead to issued patents;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patents, or parts of our owned or in-licensed patents;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development candidates or technology similar to ours;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unenforceable, or narrowed in scope, including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issued patents or patent applications, if and when issued, may not cover our development candidates;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proprietary rights or the proprietary rights of our future license partners or collaborators to the same extent as the laws of the United States;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patents or patent applications may become involved with competitors, develop products or processes that design around our patents, or become hostile to us or the patents or patent applications on which they are named as inventors;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conduct research and development activities in countries where we do not have patent rights or enforceable patent rights and then use the information learned from such activities to develop competitive products for sale in our major commercial markets;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6" w:name="page77"/>
    <w:bookmarkEnd w:id="76"/>
    <w:p>
      <w:pPr>
        <w:ind w:left="1020" w:right="4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engaged in scientific collaborations and will continue to do so in the future and our collaborators may develop adjacent or competing products that are outside the scope of our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development candidates we develop may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challenge, invalidate, circumvent or weaken our patents, and as a result, a court could hold that our patents are not valid, enforceable and infringed;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or</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impose limitations on our ability to commercialize our development candidates.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use of open source software could impose limitations on our ability to commercialize our development candidates. Our technology utilizes open source software that contains modules licensed for use from third-party authors under open source licenses. In particular, some of the software that powers OPERA may be provided under license arrangements that allow use of the software for research or other non-commercial purposes. As a result, in the future, as we seek to use our platform in connection with commercially available products, we may be required to license that software under different license terms, which may not be possible on commercially reasonable terms, if at all. If we are unable to license software components on terms that permit our use for commercial purposes, we may be required to replace those software components, which could result in delays, additional cost and additional regulatory approvals.</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Use and distribution of open source software may entail greater risks than use of third-party commercial software, as open source licensors generally do not provide warranties or other contractual protections regarding infringement claims or the quality of the software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of the open source licenses, be required to release the source code of our proprietary software to the public. This could allow our competitors to create similar products with lower development effort and time, and ultimately could result in a loss of product sales for us. Although we monitor our use of open source software, the terms of many open source licenses have not been interpreted by U.S. courts, and there is a risk that those licenses could be construed in a manner that could impose unanticipated conditions or restrictions on our ability to commercialize our development candidates. We could be required to seek licenses from third parties in order to continue offering our development candidates, to re-engineer our development candidates or to discontinue the sale of our development candidates in the event re-engineering cannot be accomplished on a timely basis, any of which could materially and adversely affect our business, financial condition, results of operations and prospects.</w:t>
      </w:r>
    </w:p>
    <w:p>
      <w:pPr>
        <w:spacing w:after="0" w:line="29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in the future by the effects of disease outbreaks, epidemics and pandemics.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Disease outbreaks, epidemics and pandemics in regions where we may have clinical trial sites or other business operations could adversely affect our business, including by causing significant disruptions in our operations and/or in the operations of CROs upon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ind w:right="200"/>
        <w:spacing w:after="0" w:line="266" w:lineRule="auto"/>
        <w:rPr>
          <w:sz w:val="20"/>
          <w:szCs w:val="20"/>
          <w:color w:val="auto"/>
        </w:rPr>
      </w:pPr>
      <w:r>
        <w:rPr>
          <w:rFonts w:ascii="Times New Roman" w:cs="Times New Roman" w:eastAsia="Times New Roman" w:hAnsi="Times New Roman"/>
          <w:sz w:val="18"/>
          <w:szCs w:val="18"/>
          <w:color w:val="auto"/>
        </w:rPr>
        <w:t>whom we may rely. Disease outbreaks, epidemics and pandemics have negative impacts on our ability to initiate new clinical trial sites, to enroll new patients and to maintain existing patients who are participating in our clinical trials, which may include increased clinical trial costs, longer timelines and delay in our ability to obtain regulatory approvals of development candidates, if at all.</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General supply chain issues may be exacerbated during disease outbreaks, epidemics and pandemics and may also impact the ability of our clinical trial sites to obtain basic medical supplies used in our trials in a timely fashion, if at all. If any of our raw materials or components suppliers become subject to acts or orders of U.S. or foreign government entities to allocate or prioritize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w:t>
      </w:r>
    </w:p>
    <w:p>
      <w:pPr>
        <w:spacing w:after="0" w:line="28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vulnerable to interruption by disasters, terrorist activity, pandemics and other events beyond our control, which could harm our business.</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facilities are located in Massachusetts. We have not undertaken a systematic analysis of the potential consequences to our business and financial results from a major flood, power loss, terrorist activity, pandemics or other disasters and do not have a recovery plan for such events.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costs and the outcome of litigation could have a material adverse effect on our business.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litigation claims through the ordinary course of our business operations regarding, but not limited to, employment matters, security of employee personal information, contractual relations with third parties and intellectual property rights. Litigation to defend ourself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or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is volatile and fluctuates substantially, which could result in substantial losses for our stockholders.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Some of the factors that may cause the market price of our common stock to fluctuate include:</w:t>
      </w:r>
    </w:p>
    <w:p>
      <w:pPr>
        <w:spacing w:after="0" w:line="54" w:lineRule="exact"/>
        <w:rPr>
          <w:sz w:val="20"/>
          <w:szCs w:val="20"/>
          <w:color w:val="auto"/>
        </w:rPr>
      </w:pPr>
    </w:p>
    <w:p>
      <w:pPr>
        <w:ind w:left="1020" w:right="4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lead candidates and development candidates, including interim and other data from ANCHOR, or those of our competitors or our existing or future collaborators;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development candidates, clinical studies, manufacturing process or sales and marketing terms;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or continued development of our development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development candidates, including with respect to other products in such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financial condition and cash flows.</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incurring and expect to continue to incur additional costs and increased demands upon management as a result of complying with the laws and regulations affecting public companies.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incurring and expect to continue to incur significant legal, accounting and other expenses operating as a public company, including costs associated with public company reporting obligations under the Exchange Act. Our management team includes some individuals who have not previously managed and operated a public company. These executive officers and other personnel will need to devote substantial time to gaining expertise related to public company reporting requirements and compliance with applicable laws and regulations to ensure that we continue to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operating our current business as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29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However, as a smaller reporting company with less than $100.0 million of revenues, we may take advantage of exemptions from various requirements such as an exemption from the requirement to have our independent auditors attest to our internal control over financial reporting under Section 404 of the Sarbanes-Oxley Act of 2002. Although we no longer qualify as an emerging growth company, we still qualify as a “smaller reporting company,” as such term is defined in Rule 12b-2 under the Exchange Act, which allows us to take advantage of many of the same exemptions from disclosure requirements, including reduced disclosure obligations regarding executive compensation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We must perform system and process evaluation and testing of our internal control over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9" w:name="page80"/>
    <w:bookmarkEnd w:id="79"/>
    <w:p>
      <w:pPr>
        <w:ind w:right="100"/>
        <w:spacing w:after="0" w:line="261" w:lineRule="auto"/>
        <w:rPr>
          <w:sz w:val="20"/>
          <w:szCs w:val="20"/>
          <w:color w:val="auto"/>
        </w:rPr>
      </w:pPr>
      <w:r>
        <w:rPr>
          <w:rFonts w:ascii="Times New Roman" w:cs="Times New Roman" w:eastAsia="Times New Roman" w:hAnsi="Times New Roman"/>
          <w:sz w:val="18"/>
          <w:szCs w:val="18"/>
          <w:color w:val="auto"/>
        </w:rPr>
        <w:t>financial reporting to allow management to report on the effectiveness of our internal control over financial reporting in our annual report on Form 10-K filing for that year, as required by Section 404 of the Sarbanes-Oxley Act. This will require that we incur substantial professional fees and internal costs to expand our accounting and finance functions and that we expend significant management efforts. We may experience difficulty in meeting these reporting requirements in a timely manner.</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75"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common stock could decline and we could be subject to sanctions or investigations by Nasdaq, the SEC or other regulatory authorities.</w:t>
      </w:r>
    </w:p>
    <w:p>
      <w:pPr>
        <w:spacing w:after="0" w:line="28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and provisions under Delaware law could make an acquisition of us more difficult and may prevent attempts by our stockholders to replace or remove our management.</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Provisions in our restated certificate of incorporation, as amended, and bylaws may discourage, delay or prevent a merger, acquisition or other change in control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will be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on at stockholder meetings;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66.67% of the votes that all our stockholders would be entitled to cast to amend or repeal certain provisions of our charter or bylaws.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Delaware, or the DGCL, which prohibits stockholders owning in excess of 15% of our outstanding voting stock from merging or combining with us. Although we believe these provisions collectively will provide for an opportunity to receive higher bids by requiring potential acquirors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7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certain designated courts will be the sole and exclusive forum for certain legal actions between us and our stockholders, which could limit our stockholders’ ability to obtain a favorable judicial forum for disputes with us or our directors, officers, employees or agents.</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bylaws provide that, unless we consent in writing to an alternative forum, the Court of Chancery of the State of Delaware is the sole and exclusive forum for state law claims for (i) any derivative action or proceeding brought on our behalf, (ii) any action asserting a claim of or based on a breach of a fiduciary duty owed by any of our current or former directors, officers, or other employees to us or our stockholders, (iii) any action asserting a claim arising pursuant to any provision of the DGCL, our charter or our bylaws, or (iv) any action asserting a claim that is governed by the internal affairs doctrine, in each case subject to the Court of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0" w:name="page81"/>
    <w:bookmarkEnd w:id="80"/>
    <w:p>
      <w:pPr>
        <w:ind w:right="20"/>
        <w:spacing w:after="0" w:line="255" w:lineRule="auto"/>
        <w:rPr>
          <w:sz w:val="20"/>
          <w:szCs w:val="20"/>
          <w:color w:val="auto"/>
        </w:rPr>
      </w:pPr>
      <w:r>
        <w:rPr>
          <w:rFonts w:ascii="Times New Roman" w:cs="Times New Roman" w:eastAsia="Times New Roman" w:hAnsi="Times New Roman"/>
          <w:sz w:val="18"/>
          <w:szCs w:val="18"/>
          <w:color w:val="auto"/>
        </w:rPr>
        <w:t>Chancery having personal jurisdiction over the indispensable parties named as defendants therein, which for purposes of this risk factor refers to herein as the “Delaware Forum Provision.” The Delaware Forum Provision will not apply to any causes of action arising under the Securities Act and the Exchange Act. Our bylaws further provide that, unless we consent in writing to an alternative forum, federal district courts of the United States will be the exclusive forum for resolving any complaint asserting a cause of action arising under the Securities Act, which for purposes of this risk factor refers to herein as the “Federal Forum Provision.” In addition, our bylaws provide that any person or entity purchasing or otherwise acquiring any interest in shares of our capital stock is deemed to have notice of and consented to the foregoing Delaware Forum Provision and Federal Forum Provision; provided, however, that stockholders cannot and will not be deemed to have waived compliance with the U.S. federal securities laws and the rules and regulations thereunder.</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impose additional litigation costs on our stockholders in pursuing any such claims, particularly if our stockholders do not reside in or near the State of Delaware. Additionally, the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26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continue to develop or be sustained and our stockholders may not be able to resell their shares of common stock for a profit, if at all.</w:t>
      </w:r>
    </w:p>
    <w:p>
      <w:pPr>
        <w:spacing w:after="0" w:line="51" w:lineRule="exact"/>
        <w:rPr>
          <w:sz w:val="20"/>
          <w:szCs w:val="20"/>
          <w:color w:val="auto"/>
        </w:rPr>
      </w:pPr>
    </w:p>
    <w:p>
      <w:pPr>
        <w:jc w:val="both"/>
        <w:ind w:right="20" w:firstLine="509"/>
        <w:spacing w:after="0" w:line="312" w:lineRule="auto"/>
        <w:rPr>
          <w:sz w:val="20"/>
          <w:szCs w:val="20"/>
          <w:color w:val="auto"/>
        </w:rPr>
      </w:pPr>
      <w:r>
        <w:rPr>
          <w:rFonts w:ascii="Times New Roman" w:cs="Times New Roman" w:eastAsia="Times New Roman" w:hAnsi="Times New Roman"/>
          <w:sz w:val="17"/>
          <w:szCs w:val="17"/>
          <w:color w:val="auto"/>
        </w:rPr>
        <w:t>We cannot assure you that an active trading market for our shares of common stock may continue to develop or be sustained. If an active market for our common stock does not continue to develop or is not sustained, it may be difficult for our stockholders to sell their shares at an attractive price or at all.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If our existing securityholders sell, or indicate an intention to sell, substantial amounts of our common stock in the public market, the trading price of our common stock could decline as a result of the sale of a substantial number of our shares of common stock in the public market or the perception in the market that the holders of a large number of shares intend to sell their shares.</w:t>
      </w:r>
    </w:p>
    <w:p>
      <w:pPr>
        <w:spacing w:after="0" w:line="280"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principal stockholders, in the aggregate, beneficially own approximately 54%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2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81" w:name="page82"/>
    <w:bookmarkEnd w:id="81"/>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our cash and cash equivalents and may invest or spend our cash in ways with which you do not agree and in ways that may not increase the value of your investment.</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will have broad discretion over the use of our cash and cash equivalents. You may not agree with our decisions, and our use of our cash and cash equivalents may not yield any return on your investment. Our failure to apply these resources effectively could compromise our ability to pursue our growth strategy and we might not be able to yield a significant return, if any, on our investment. You will not have the opportunity to influence our decisions on how to use our cash resources.</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development candidates we may develop.</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capital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 In addition, if we raise funds through additional license and collaboration agreements, strategic alliances or licensing arrangements with third parties, we may have to relinquish valuable rights to our intellectual property, technologies, future revenue streams, research programs or development candidates we may develop, or we may have to grant licenses on terms that may not be favorable.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our business and financial condition. In recent years, many such changes have been made and changes are likely to continue to occur in the future. The most recent U.S. federal tax legislation was signed into law on July 4, 2025 and modified how we account for research and development expenses. In addition, it is unclear how these U.S. federal income tax changes will affect state and local taxation. We cannot predict whether, when, in what form or with what effective dates, tax laws, regulations and rulings may be enacted, promulgated or decided or whether they could increase our tax liability or require changes in the manner in which we operate in order to minimize increases in our tax liability.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or NOL, carryforwards and certain other tax attributes may be limited.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Since our inception, we have incurred losses and we may never achieve profitability. As of December 31, 2025, we had federal and state NOLs of $462.0 million and $436.9 million, respectively. Under current law, our federal NOLs generated in taxable years ending after December 31, 2017, may be carried forward indefinitely, but the deductibility of such federal NOLs is limited to 80% of our taxable income annually for tax years beginning after December 31, 2018. Federal NOLs generated in taxable years ending on or prior to December 31, 2017, however, have a 20-year carryforward period, but are not subject to the 80% limitation. We have federal NOLs of $22.4 million that are subject to expiration between 2036 and 2037 and have $439.6 million of federal NOLs that do not expire. Our state NOLs expire at various dates from 2035 through 2045. As of December 31, 2025, we had federal research and development tax credit carryforwards of $20.2 million that expire at various dates from 2037 through 2045. In addition, as of December 31, 2025, we had state research and development tax credit carryforwards of $9.9 million that expire at various dates from 2032 through 2040.</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or the Code, if a corporation undergoes an “ownership change,” generally defined as one or more shareholders or groups of shareholders who own at least 5% of the corporation’s equity increasing their equity ownership in the aggregate by more than 50 percentage points (by value) over a rolling three-year period, the corporation’s ability to use its pre-change NOLs and other pre-change tax attributes (such as research and development tax credits) to offset its post-change income or taxes may be limited. Similar rules may apply under state tax laws. Our prior equity offerings and other changes in our stock ownership may have resulted in such ownership changes in the past. We have not conducted a formal study to assess whether a change of control has occurred or whether there have been multiple changes of control since inception. In addition, we may experience ownership changes in the future as a result of future securities offering or subsequent shifts in our stock ownership, some of which are outside of our control. In particular, if the November 2023 business combination or the private financing that closed immediately prior thereto constitutes an ownership change within the meaning of Section 382 of the Code, we could lose or otherwise be substantially limited in our ability to use our NOLs and tax credit carryforwards. As a result, if we earn net taxable income in the future, our ability to use our pre-change NOLs or other pre-change tax attributes to offset U.S. federal taxable income or income taxes may be subject to limitations, which could potentially result in increased future tax liability to us. There is a risk that due to changes under the tax law, regulatory changes or other unforeseen reasons, our existing NOLs 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2" w:name="page83"/>
    <w:bookmarkEnd w:id="82"/>
    <w:p>
      <w:pPr>
        <w:ind w:right="240"/>
        <w:spacing w:after="0" w:line="266" w:lineRule="auto"/>
        <w:rPr>
          <w:sz w:val="20"/>
          <w:szCs w:val="20"/>
          <w:color w:val="auto"/>
        </w:rPr>
      </w:pPr>
      <w:r>
        <w:rPr>
          <w:rFonts w:ascii="Times New Roman" w:cs="Times New Roman" w:eastAsia="Times New Roman" w:hAnsi="Times New Roman"/>
          <w:sz w:val="18"/>
          <w:szCs w:val="18"/>
          <w:color w:val="auto"/>
        </w:rPr>
        <w:t>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by us. For these reasons, we may not be able to realize a tax benefit from the use of our NOLs or tax credits, even if we attain profitability.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results of operations or cash flows.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A severe or prolonged economic downturn could result in a variety of risks to our business, including weakened demand for our development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8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impacted by macroeconomic conditions, including inflation, rising interest rates and volatile market conditions, and other uncertainties beyond our control, including geopolitical events, such as ongoing U.S. and Israeli military action in Iran, and effects thereof.</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effectively run our business could be adversely affected by general conditions in the global economy and in the financial services industry. Various macroeconomic factors could adversely affect our business, including fears concerning the banking sector (such as what occurred in 2023), changes in inflation, interest rates and overall economic conditions and uncertainties (including as a result of announced tariffs or other policy changes by the current U.S. administration).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A severe or prolonged economic downturn could result in a variety of risks, including our ability to raise additional funding on a timely basis or on acceptable terms. A weak or declining economy could also impact third parties upon whom we depend to run our business. 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Moreover, significant political, trade, regulatory developments, and other circumstances beyond our control, such as geopolitical events, like the ongoing U.S. and Israeli military action in Iran and effects thereof, could have a material adverse effect on our financial condition or results of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During the three months ended September 30, 2026, the following officers (as defined in Rule 16a-1(f) under the Exchange Act) adopted, amended or terminated contracts, instructions or written plans for the purchase or sale of our securities that were intended to satisfy the affirmative defense conditions of Rule 10b5-1(c) under the Exchange Act (each, a “Rule 10b5-1 plan”): On July 24, 2026, Ram Aiyar, our Chief Executive Officer, President and Interim Chief Financial Officer, adopted a Rule 10b5-1 plan providing for the potential sale of up to 25,000 shares of our common stock issued upon the vesting and settlement of restricted stock units; this plan is scheduled to expire on January 21, 2028. On September 1, 2026, Todd Chappell, our Chief Operating Officer, adopted a Rule 10b5-1 plan providing for the potential sale of up to 13,944 shares of our common stock issued or issuable upon the vesting and settlement of restricted stock units, as well as up to 5,000 shares of our common stock issuable upon the exercise of stock options; this plan is scheduled to expire on September 3, 2027. On September 1, 2026, Jeffrey Cerio, our Senior Vice President, General Counsel and Corporate Secretary, adopted a Rule 10b5-1 plan providing for the potential sale of up to 18,842 shares of our common stock issued or issuable upon the vesting and settlement of restricted stock units; this plan is scheduled to expire on December 31, 2027.</w:t>
      </w:r>
    </w:p>
    <w:p>
      <w:pPr>
        <w:spacing w:after="0" w:line="19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other officers or directors informed us that they adopted, modified or terminated a Rule 10b5-1 plan or a trading plan not intended to satisfy the affirmative defense conditions of Rule 10b5-1(c) under the Exchange Act.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780" w:type="dxa"/>
            <w:vAlign w:val="bottom"/>
            <w:gridSpan w:val="9"/>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78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9680" w:type="dxa"/>
            <w:vAlign w:val="bottom"/>
            <w:tcBorders>
              <w:bottom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Restated Certificate of Incorporation (incorporated by reference to Exhibit 3.1 to the registrant’s Current Report on Form 8-K filed on</w:t>
              </w:r>
            </w:hyperlink>
          </w:p>
        </w:tc>
        <w:tc>
          <w:tcPr>
            <w:tcW w:w="5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r:id="rId340">
              <w:r>
                <w:rPr>
                  <w:rFonts w:ascii="Times New Roman" w:cs="Times New Roman" w:eastAsia="Times New Roman" w:hAnsi="Times New Roman"/>
                  <w:sz w:val="18"/>
                  <w:szCs w:val="18"/>
                  <w:color w:val="0000FF"/>
                  <w:w w:val="97"/>
                </w:rPr>
                <w:t>October 7, 2019)</w:t>
              </w:r>
            </w:hyperlink>
          </w:p>
        </w:tc>
        <w:tc>
          <w:tcPr>
            <w:tcW w:w="20" w:type="dxa"/>
            <w:vAlign w:val="bottom"/>
            <w:tcBorders>
              <w:bottom w:val="single" w:sz="8" w:color="0000EE"/>
            </w:tcBorders>
          </w:tcPr>
          <w:p>
            <w:pPr>
              <w:spacing w:after="0"/>
              <w:rPr>
                <w:sz w:val="17"/>
                <w:szCs w:val="17"/>
                <w:color w:val="auto"/>
              </w:rPr>
            </w:pPr>
          </w:p>
        </w:tc>
        <w:tc>
          <w:tcPr>
            <w:tcW w:w="89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1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Certificate of Amendment to Restated Certificate of Incorporation (incorporated by reference to Exhibit 3.1 to the registrant’s Current Report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on Form 8-K filed on November 6, 2023)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1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Certificate of Amendment to Restated Certificate of Incorporation (incorporated by reference to Exhibit 3.2 to the registrant’s Current Report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on Form 8-K filed on November 6, 2023)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101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Certificate of Amendment to Restated Certificate of Incorporation (incorporated by reference to Exhibit 3.1 to the registrant’s Current Report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on Form 8-K filed on June 12,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EE"/>
            </w:tcBorders>
            <w:gridSpan w:val="3"/>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7"/>
                <w:szCs w:val="17"/>
                <w:color w:val="auto"/>
              </w:rPr>
            </w:pPr>
          </w:p>
        </w:tc>
        <w:tc>
          <w:tcPr>
            <w:tcW w:w="101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Amended and Restated Bylaws (incorporated by reference to Exhibit 3.1 to the registrant’s Current Report on Form 8-K filed on September</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20" w:type="dxa"/>
            <w:vAlign w:val="bottom"/>
            <w:gridSpan w:val="3"/>
          </w:tcPr>
          <w:p>
            <w:pPr>
              <w:ind w:left="120"/>
              <w:spacing w:after="0" w:line="196" w:lineRule="exact"/>
              <w:rPr>
                <w:rFonts w:ascii="Times New Roman" w:cs="Times New Roman" w:eastAsia="Times New Roman" w:hAnsi="Times New Roman"/>
                <w:sz w:val="18"/>
                <w:szCs w:val="18"/>
                <w:color w:val="0000FF"/>
                <w:w w:val="95"/>
              </w:rPr>
            </w:pPr>
            <w:hyperlink r:id="rId344">
              <w:r>
                <w:rPr>
                  <w:rFonts w:ascii="Times New Roman" w:cs="Times New Roman" w:eastAsia="Times New Roman" w:hAnsi="Times New Roman"/>
                  <w:sz w:val="18"/>
                  <w:szCs w:val="18"/>
                  <w:color w:val="0000FF"/>
                  <w:w w:val="95"/>
                </w:rPr>
                <w:t>23, 2020)</w:t>
              </w:r>
            </w:hyperlink>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8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Exchange Agreement, dated as of August 5, 2026, by and among the Korro Bio, Inc. and certain investors party thereto (incorporated by</w:t>
              </w:r>
            </w:hyperlink>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reference to Exhibit 10.1 to the registrant's Current Report on Form 8-K filed on August 6, 2026).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gridSpan w:val="6"/>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98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Form of Pre-Funded Warrant (incorporated by reference to Exhibit 4.1 to the registrant's Current Report on Form 8-K filed on August 6,</w:t>
              </w:r>
            </w:hyperlink>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00" w:type="dxa"/>
            <w:vAlign w:val="bottom"/>
            <w:gridSpan w:val="2"/>
          </w:tcPr>
          <w:p>
            <w:pPr>
              <w:ind w:left="120"/>
              <w:spacing w:after="0" w:line="196" w:lineRule="exact"/>
              <w:rPr>
                <w:rFonts w:ascii="Times New Roman" w:cs="Times New Roman" w:eastAsia="Times New Roman" w:hAnsi="Times New Roman"/>
                <w:sz w:val="18"/>
                <w:szCs w:val="18"/>
                <w:color w:val="0000FF"/>
                <w:w w:val="94"/>
              </w:rPr>
            </w:pPr>
            <w:hyperlink r:id="rId346">
              <w:r>
                <w:rPr>
                  <w:rFonts w:ascii="Times New Roman" w:cs="Times New Roman" w:eastAsia="Times New Roman" w:hAnsi="Times New Roman"/>
                  <w:sz w:val="18"/>
                  <w:szCs w:val="18"/>
                  <w:color w:val="0000FF"/>
                  <w:w w:val="94"/>
                </w:rPr>
                <w:t>2026).</w:t>
              </w:r>
            </w:hyperlink>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1004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Rules 13a-14(a) and 15d-14(a) under the Securities</w:t>
            </w: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Borders>
              <w:right w:val="single" w:sz="8" w:color="0000FF"/>
            </w:tcBorders>
            <w:gridSpan w:val="7"/>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98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3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Borders>
              <w:right w:val="single" w:sz="8" w:color="0000EE"/>
            </w:tcBorders>
            <w:gridSpan w:val="7"/>
            <w:shd w:val="clear" w:color="auto" w:fill="0000FF"/>
          </w:tcPr>
          <w:p>
            <w:pPr>
              <w:spacing w:after="0" w:line="20" w:lineRule="exact"/>
              <w:rPr>
                <w:sz w:val="1"/>
                <w:szCs w:val="1"/>
                <w:color w:val="auto"/>
              </w:rPr>
            </w:pPr>
          </w:p>
        </w:tc>
        <w:tc>
          <w:tcPr>
            <w:tcW w:w="67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10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right="200" w:firstLine="8"/>
        <w:spacing w:after="0" w:line="266" w:lineRule="auto"/>
        <w:tabs>
          <w:tab w:leader="none" w:pos="1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will not be deemed “filed” for purposes of Section 18 of the Exchange Act or otherwise subject to the liability of that section. Such certification will not be deemed to be incorporated by reference into any filing under the Securities Act or the Exchange Act except to the extent specifically incorporated by reference into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Korro Bio,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75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Ram Aiyar</w:t>
            </w:r>
          </w:p>
        </w:tc>
      </w:tr>
      <w:tr>
        <w:trPr>
          <w:trHeight w:val="187"/>
        </w:trPr>
        <w:tc>
          <w:tcPr>
            <w:tcW w:w="36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Ram Aiyar</w:t>
            </w:r>
          </w:p>
        </w:tc>
      </w:tr>
      <w:tr>
        <w:trPr>
          <w:trHeight w:val="216"/>
        </w:trPr>
        <w:tc>
          <w:tcPr>
            <w:tcW w:w="3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 and Interim Principal</w:t>
            </w:r>
          </w:p>
        </w:tc>
      </w:tr>
      <w:tr>
        <w:trPr>
          <w:trHeight w:val="238"/>
        </w:trPr>
        <w:tc>
          <w:tcPr>
            <w:tcW w:w="3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Officer</w:t>
            </w:r>
          </w:p>
        </w:tc>
      </w:tr>
      <w:tr>
        <w:trPr>
          <w:trHeight w:val="864"/>
        </w:trPr>
        <w:tc>
          <w:tcPr>
            <w:tcW w:w="3660" w:type="dxa"/>
            <w:vAlign w:val="bottom"/>
          </w:tcPr>
          <w:p>
            <w:pPr>
              <w:spacing w:after="0"/>
              <w:rPr>
                <w:sz w:val="24"/>
                <w:szCs w:val="24"/>
                <w:color w:val="auto"/>
              </w:rPr>
            </w:pPr>
          </w:p>
        </w:tc>
        <w:tc>
          <w:tcPr>
            <w:tcW w:w="2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80</w:t>
            </w:r>
          </w:p>
        </w:tc>
        <w:tc>
          <w:tcPr>
            <w:tcW w:w="5200" w:type="dxa"/>
            <w:vAlign w:val="bottom"/>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6" w:name="page87"/>
    <w:bookmarkEnd w:id="86"/>
    <w:p>
      <w:pPr>
        <w:ind w:left="1040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21" w:lineRule="exact"/>
        <w:rPr>
          <w:sz w:val="20"/>
          <w:szCs w:val="20"/>
          <w:color w:val="auto"/>
        </w:rPr>
      </w:pPr>
    </w:p>
    <w:p>
      <w:pPr>
        <w:jc w:val="center"/>
        <w:ind w:right="40"/>
        <w:spacing w:after="0" w:line="301" w:lineRule="auto"/>
        <w:rPr>
          <w:sz w:val="20"/>
          <w:szCs w:val="20"/>
          <w:color w:val="auto"/>
        </w:rPr>
      </w:pPr>
      <w:r>
        <w:rPr>
          <w:rFonts w:ascii="Times New Roman" w:cs="Times New Roman" w:eastAsia="Times New Roman" w:hAnsi="Times New Roman"/>
          <w:sz w:val="16"/>
          <w:szCs w:val="16"/>
          <w:b w:val="1"/>
          <w:bCs w:val="1"/>
          <w:color w:val="auto"/>
        </w:rPr>
        <w:t>CERTIFICATION OF PRINCIPAL EXECUTIVE OFFICER AND PRINCIPAL FINANCIAL OFFICER PURSUANT TO RULE 13a-14(a) / RULE 15d-14(a) OF THE SECURITIES EXCHANGE ACT OF 1934, AS AMENDED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Ram Aiyar, certify that:</w:t>
      </w:r>
    </w:p>
    <w:p>
      <w:pPr>
        <w:spacing w:after="0" w:line="221" w:lineRule="exact"/>
        <w:rPr>
          <w:sz w:val="20"/>
          <w:szCs w:val="20"/>
          <w:color w:val="auto"/>
        </w:rPr>
      </w:pPr>
    </w:p>
    <w:p>
      <w:pPr>
        <w:ind w:left="380" w:hanging="372"/>
        <w:spacing w:after="0"/>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for the period ended September 30, 2026 of Korro Bio, Inc. (the “registrant”);</w:t>
      </w:r>
    </w:p>
    <w:p>
      <w:pPr>
        <w:spacing w:after="0" w:line="207" w:lineRule="exact"/>
        <w:rPr>
          <w:rFonts w:ascii="Times New Roman" w:cs="Times New Roman" w:eastAsia="Times New Roman" w:hAnsi="Times New Roman"/>
          <w:sz w:val="16"/>
          <w:szCs w:val="16"/>
          <w:color w:val="auto"/>
        </w:rPr>
      </w:pPr>
    </w:p>
    <w:p>
      <w:pPr>
        <w:ind w:left="380" w:right="100" w:hanging="372"/>
        <w:spacing w:after="0" w:line="298" w:lineRule="auto"/>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Times New Roman" w:cs="Times New Roman" w:eastAsia="Times New Roman" w:hAnsi="Times New Roman"/>
          <w:sz w:val="16"/>
          <w:szCs w:val="16"/>
          <w:color w:val="auto"/>
        </w:rPr>
      </w:pPr>
    </w:p>
    <w:p>
      <w:pPr>
        <w:ind w:left="380" w:right="100" w:hanging="372"/>
        <w:spacing w:after="0" w:line="298" w:lineRule="auto"/>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348" w:lineRule="exact"/>
        <w:rPr>
          <w:rFonts w:ascii="Times New Roman" w:cs="Times New Roman" w:eastAsia="Times New Roman" w:hAnsi="Times New Roman"/>
          <w:sz w:val="16"/>
          <w:szCs w:val="16"/>
          <w:color w:val="auto"/>
        </w:rPr>
      </w:pPr>
    </w:p>
    <w:p>
      <w:pPr>
        <w:ind w:left="1500" w:right="80" w:hanging="369"/>
        <w:spacing w:after="0" w:line="281" w:lineRule="auto"/>
        <w:tabs>
          <w:tab w:leader="none" w:pos="150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Times New Roman" w:cs="Times New Roman" w:eastAsia="Times New Roman" w:hAnsi="Times New Roman"/>
          <w:sz w:val="16"/>
          <w:szCs w:val="16"/>
          <w:color w:val="auto"/>
        </w:rPr>
      </w:pPr>
    </w:p>
    <w:p>
      <w:pPr>
        <w:ind w:left="1500" w:right="80" w:hanging="369"/>
        <w:spacing w:after="0" w:line="281" w:lineRule="auto"/>
        <w:tabs>
          <w:tab w:leader="none" w:pos="150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Times New Roman" w:cs="Times New Roman" w:eastAsia="Times New Roman" w:hAnsi="Times New Roman"/>
          <w:sz w:val="16"/>
          <w:szCs w:val="16"/>
          <w:color w:val="auto"/>
        </w:rPr>
      </w:pPr>
    </w:p>
    <w:p>
      <w:pPr>
        <w:ind w:left="1500" w:right="100" w:hanging="369"/>
        <w:spacing w:after="0" w:line="298" w:lineRule="auto"/>
        <w:tabs>
          <w:tab w:leader="none" w:pos="150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6"/>
          <w:szCs w:val="16"/>
          <w:color w:val="auto"/>
        </w:rPr>
      </w:pPr>
    </w:p>
    <w:p>
      <w:pPr>
        <w:ind w:left="1500" w:right="120" w:hanging="369"/>
        <w:spacing w:after="0" w:line="281" w:lineRule="auto"/>
        <w:tabs>
          <w:tab w:leader="none" w:pos="150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6"/>
          <w:szCs w:val="16"/>
          <w:color w:val="auto"/>
        </w:rPr>
      </w:pPr>
    </w:p>
    <w:p>
      <w:pPr>
        <w:ind w:left="380" w:right="380" w:hanging="372"/>
        <w:spacing w:after="0" w:line="298" w:lineRule="auto"/>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Times New Roman" w:cs="Times New Roman" w:eastAsia="Times New Roman" w:hAnsi="Times New Roman"/>
          <w:sz w:val="16"/>
          <w:szCs w:val="16"/>
          <w:color w:val="auto"/>
        </w:rPr>
      </w:pPr>
    </w:p>
    <w:p>
      <w:pPr>
        <w:ind w:left="1500" w:right="80" w:hanging="369"/>
        <w:spacing w:after="0" w:line="298" w:lineRule="auto"/>
        <w:tabs>
          <w:tab w:leader="none" w:pos="150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Times New Roman" w:cs="Times New Roman" w:eastAsia="Times New Roman" w:hAnsi="Times New Roman"/>
          <w:sz w:val="16"/>
          <w:szCs w:val="16"/>
          <w:color w:val="auto"/>
        </w:rPr>
      </w:pPr>
    </w:p>
    <w:p>
      <w:pPr>
        <w:ind w:left="1500" w:right="120" w:hanging="369"/>
        <w:spacing w:after="0" w:line="298" w:lineRule="auto"/>
        <w:tabs>
          <w:tab w:leader="none" w:pos="150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color w:val="auto"/>
        </w:rPr>
        <w:t>/s/ Ram Aiyar</w:t>
      </w:r>
    </w:p>
    <w:p>
      <w:pPr>
        <w:spacing w:after="0" w:line="3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b w:val="1"/>
          <w:bCs w:val="1"/>
          <w:color w:val="auto"/>
        </w:rPr>
        <w:t>Ram Aiyar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-114935</wp:posOffset>
            </wp:positionV>
            <wp:extent cx="413194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b w:val="1"/>
          <w:bCs w:val="1"/>
          <w:color w:val="auto"/>
        </w:rPr>
        <w:t>(Principal Executive Officer and Interim Principal Financial Officer)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November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87" w:name="page88"/>
    <w:bookmarkEnd w:id="87"/>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 PURSUANT TO 18 U.S.C. SECTION 1350, AS ADOPTED PURSUANT TO SECTION 906 OF THE SARBANES-OXLEY ACT OF 2002</w:t>
      </w:r>
    </w:p>
    <w:p>
      <w:pPr>
        <w:spacing w:after="0" w:line="15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Korro Bio, Inc. (the “Company”) for the period ended September 30, 2026 as filed with the Securities and Exchange Commission on the date hereof (the “Report”), the undersigned hereby certifies, pursuant to 18 U.S.C. Section 1350, that, to the best of his knowledge:</w:t>
      </w:r>
    </w:p>
    <w:p>
      <w:pPr>
        <w:spacing w:after="0" w:line="176"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Ram Aiyar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Ram Aiyar</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(Principal Executive Officer and Interim 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Korro Bio, Inc.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40" Type="http://schemas.openxmlformats.org/officeDocument/2006/relationships/hyperlink" Target="https://www.sec.gov/Archives/edgar/data/1703647/000119312519263787/d796545dex31.htm" TargetMode="External"/><Relationship Id="rId341" Type="http://schemas.openxmlformats.org/officeDocument/2006/relationships/hyperlink" Target="https://www.sec.gov/Archives/edgar/data/1703647/000119312523270898/d549338dex31.htm" TargetMode="External"/><Relationship Id="rId342" Type="http://schemas.openxmlformats.org/officeDocument/2006/relationships/hyperlink" Target="https://www.sec.gov/Archives/edgar/data/1703647/000119312523270898/d549338dex32.htm" TargetMode="External"/><Relationship Id="rId343" Type="http://schemas.openxmlformats.org/officeDocument/2006/relationships/hyperlink" Target="https://www.sec.gov/Archives/edgar/data/1703647/000119312524159933/d844802dex31.htm" TargetMode="External"/><Relationship Id="rId344" Type="http://schemas.openxmlformats.org/officeDocument/2006/relationships/hyperlink" Target="https://www.sec.gov/Archives/edgar/data/1703647/000119312520253994/d62983dex31.htm" TargetMode="External"/><Relationship Id="rId345" Type="http://schemas.openxmlformats.org/officeDocument/2006/relationships/hyperlink" Target="https://www.sec.gov/Archives/edgar/data/1703647/000119312526336685/krro-ex10_1.htm" TargetMode="External"/><Relationship Id="rId346" Type="http://schemas.openxmlformats.org/officeDocument/2006/relationships/hyperlink" Target="https://www.sec.gov/Archives/edgar/data/1703647/000119312526336685/krro-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2026-11-05T06:18:21Z</dcterms:created>
  <dcterms:modified xsi:type="dcterms:W3CDTF">2026-11-05T06:18:21Z</dcterms:modified>
</cp:coreProperties>
</file>