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306"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Filed pursuant to Rule 424(b)(3)</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Statement No. 333-297402</w:t>
      </w:r>
    </w:p>
    <w:p>
      <w:pPr>
        <w:spacing w:after="0" w:line="203"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2945130</wp:posOffset>
            </wp:positionH>
            <wp:positionV relativeFrom="paragraph">
              <wp:posOffset>173990</wp:posOffset>
            </wp:positionV>
            <wp:extent cx="1251585" cy="2400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51585" cy="24003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9"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t>Up to 1,213,569 Shares of 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247015</wp:posOffset>
            </wp:positionV>
            <wp:extent cx="147447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p>
      <w:pPr>
        <w:ind w:left="120" w:right="680" w:firstLine="440"/>
        <w:spacing w:after="0" w:line="282" w:lineRule="auto"/>
        <w:rPr>
          <w:sz w:val="20"/>
          <w:szCs w:val="20"/>
          <w:color w:val="auto"/>
        </w:rPr>
      </w:pPr>
      <w:r>
        <w:rPr>
          <w:rFonts w:ascii="Times New Roman" w:cs="Times New Roman" w:eastAsia="Times New Roman" w:hAnsi="Times New Roman"/>
          <w:sz w:val="18"/>
          <w:szCs w:val="18"/>
          <w:color w:val="auto"/>
        </w:rPr>
        <w:t>This prospectus relates to the proposed offer and resale or other disposition from time to time by the selling stockholders identified in this prospectus of up to an aggregate of 1,213,569 shares of common stock, par value $0.001 per share, of Korro Bio, Inc.</w:t>
      </w:r>
    </w:p>
    <w:p>
      <w:pPr>
        <w:spacing w:after="0" w:line="162" w:lineRule="exact"/>
        <w:rPr>
          <w:sz w:val="24"/>
          <w:szCs w:val="24"/>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We are registering the resale of the shares of common stock pursuant to the selling stockholders’ registration rights under a registration rights agreement between us and the selling stockholders. Our registration of the resale of the shares of common stock covered by this prospectus does not mean that the selling stockholders will offer or sell all or any of the shares of common stock. The selling stockholders may offer, sell or distribute all or a portion of their shares of common stock from time to time directly or indirectly through one or more underwriters, broker-dealers or agents, and in one or more public or private transactions. The shares of common stock may be sold in one or more transactions at fixed prices, at prevailing market prices at the time of the sale, at varying prices determined at the time of sale or at negotiated prices. These sales may be effected in transactions, which may involve crosses or block transactions. See the section entitled “</w:t>
      </w:r>
      <w:r>
        <w:rPr>
          <w:rFonts w:ascii="Times New Roman" w:cs="Times New Roman" w:eastAsia="Times New Roman" w:hAnsi="Times New Roman"/>
          <w:sz w:val="18"/>
          <w:szCs w:val="18"/>
          <w:i w:val="1"/>
          <w:iCs w:val="1"/>
          <w:color w:val="auto"/>
        </w:rPr>
        <w:t>Plan of Distribution</w:t>
      </w:r>
      <w:r>
        <w:rPr>
          <w:rFonts w:ascii="Times New Roman" w:cs="Times New Roman" w:eastAsia="Times New Roman" w:hAnsi="Times New Roman"/>
          <w:sz w:val="18"/>
          <w:szCs w:val="18"/>
          <w:color w:val="auto"/>
        </w:rPr>
        <w:t>” for more information.</w:t>
      </w:r>
    </w:p>
    <w:p>
      <w:pPr>
        <w:spacing w:after="0" w:line="189" w:lineRule="exact"/>
        <w:rPr>
          <w:sz w:val="24"/>
          <w:szCs w:val="24"/>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We will not receive any proceeds from any sale of common stock by the selling stockholders pursuant to this prospectus. We have agreed to bear the expenses in connection with the registration of the resale of the shares of common stock to be offered by this prospectus by the selling stockholders other than any underwriting discounts and commissions or transfer taxes relating to the sale of common stock, which will be borne by the selling stockholders.</w:t>
      </w:r>
    </w:p>
    <w:p>
      <w:pPr>
        <w:spacing w:after="0" w:line="180" w:lineRule="exact"/>
        <w:rPr>
          <w:sz w:val="24"/>
          <w:szCs w:val="24"/>
          <w:color w:val="auto"/>
        </w:rPr>
      </w:pPr>
    </w:p>
    <w:p>
      <w:pPr>
        <w:ind w:left="120" w:right="400" w:firstLine="440"/>
        <w:spacing w:after="0" w:line="282" w:lineRule="auto"/>
        <w:rPr>
          <w:sz w:val="20"/>
          <w:szCs w:val="20"/>
          <w:color w:val="auto"/>
        </w:rPr>
      </w:pPr>
      <w:r>
        <w:rPr>
          <w:rFonts w:ascii="Times New Roman" w:cs="Times New Roman" w:eastAsia="Times New Roman" w:hAnsi="Times New Roman"/>
          <w:sz w:val="18"/>
          <w:szCs w:val="18"/>
          <w:color w:val="auto"/>
        </w:rPr>
        <w:t>We are an “emerging growth company” as defined under the federal securities laws and, as such, have elected to comply with certain reduced public company reporting requirements for this prospectus and our other filings with the Securities and Exchange Commission.</w:t>
      </w:r>
    </w:p>
    <w:p>
      <w:pPr>
        <w:spacing w:after="0" w:line="162" w:lineRule="exact"/>
        <w:rPr>
          <w:sz w:val="24"/>
          <w:szCs w:val="24"/>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Our common stock is listed on the Nasdaq Capital Market, or Nasdaq, under the symbol “KRRO.” On December 6, 2024, the closing price for our common stock, as reported on Nasdaq, was $42.58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200025</wp:posOffset>
            </wp:positionV>
            <wp:extent cx="14744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93" w:lineRule="exact"/>
        <w:rPr>
          <w:sz w:val="24"/>
          <w:szCs w:val="24"/>
          <w:color w:val="auto"/>
        </w:rPr>
      </w:pPr>
    </w:p>
    <w:p>
      <w:pPr>
        <w:ind w:left="120" w:right="460" w:firstLine="440"/>
        <w:spacing w:after="0" w:line="262" w:lineRule="auto"/>
        <w:rPr>
          <w:sz w:val="20"/>
          <w:szCs w:val="20"/>
          <w:color w:val="auto"/>
        </w:rPr>
      </w:pPr>
      <w:r>
        <w:rPr>
          <w:rFonts w:ascii="Times New Roman" w:cs="Times New Roman" w:eastAsia="Times New Roman" w:hAnsi="Times New Roman"/>
          <w:sz w:val="22"/>
          <w:szCs w:val="22"/>
          <w:b w:val="1"/>
          <w:bCs w:val="1"/>
          <w:color w:val="auto"/>
        </w:rPr>
        <w:t>See the section entitled “</w:t>
      </w:r>
      <w:r>
        <w:rPr>
          <w:rFonts w:ascii="Times New Roman" w:cs="Times New Roman" w:eastAsia="Times New Roman" w:hAnsi="Times New Roman"/>
          <w:sz w:val="22"/>
          <w:szCs w:val="22"/>
          <w:b w:val="1"/>
          <w:bCs w:val="1"/>
          <w:u w:val="single" w:color="auto"/>
          <w:color w:val="0000EE"/>
        </w:rPr>
        <w:t>Risk Factors</w:t>
      </w:r>
      <w:r>
        <w:rPr>
          <w:rFonts w:ascii="Times New Roman" w:cs="Times New Roman" w:eastAsia="Times New Roman" w:hAnsi="Times New Roman"/>
          <w:sz w:val="22"/>
          <w:szCs w:val="22"/>
          <w:b w:val="1"/>
          <w:bCs w:val="1"/>
          <w:color w:val="auto"/>
        </w:rPr>
        <w:t>” beginning on page 4 of this prospectus to read about factors you should consider before buying our securities.</w:t>
      </w:r>
    </w:p>
    <w:p>
      <w:pPr>
        <w:spacing w:after="0" w:line="159" w:lineRule="exact"/>
        <w:rPr>
          <w:sz w:val="24"/>
          <w:szCs w:val="24"/>
          <w:color w:val="auto"/>
        </w:rPr>
      </w:pPr>
    </w:p>
    <w:p>
      <w:pPr>
        <w:ind w:left="120" w:right="16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207010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The date of this prospectus is December 9, 2024.</w:t>
      </w:r>
    </w:p>
    <w:p>
      <w:pPr>
        <w:sectPr>
          <w:pgSz w:w="11900" w:h="16838" w:orient="portrait"/>
          <w:cols w:equalWidth="0" w:num="1">
            <w:col w:w="11140"/>
          </w:cols>
          <w:pgMar w:left="320" w:top="225" w:right="4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50"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10660" w:type="dxa"/>
            <w:vAlign w:val="bottom"/>
            <w:gridSpan w:val="11"/>
            <w:vMerge w:val="restart"/>
          </w:tcPr>
          <w:p>
            <w:pPr>
              <w:spacing w:after="0"/>
              <w:rPr>
                <w:sz w:val="20"/>
                <w:szCs w:val="20"/>
                <w:color w:val="auto"/>
              </w:rPr>
            </w:pPr>
            <w:r>
              <w:rPr>
                <w:rFonts w:ascii="Times New Roman" w:cs="Times New Roman" w:eastAsia="Times New Roman" w:hAnsi="Times New Roman"/>
                <w:sz w:val="18"/>
                <w:szCs w:val="18"/>
                <w:color w:val="0000EE"/>
              </w:rPr>
              <w:t>ABOUT THIS PROSPECTUS</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w w:val="97"/>
              </w:rPr>
              <w:t>Page</w:t>
            </w:r>
          </w:p>
        </w:tc>
        <w:tc>
          <w:tcPr>
            <w:tcW w:w="0" w:type="dxa"/>
            <w:vAlign w:val="bottom"/>
          </w:tcPr>
          <w:p>
            <w:pPr>
              <w:spacing w:after="0"/>
              <w:rPr>
                <w:sz w:val="1"/>
                <w:szCs w:val="1"/>
                <w:color w:val="auto"/>
              </w:rPr>
            </w:pPr>
          </w:p>
        </w:tc>
      </w:tr>
      <w:tr>
        <w:trPr>
          <w:trHeight w:val="169"/>
        </w:trPr>
        <w:tc>
          <w:tcPr>
            <w:tcW w:w="10660" w:type="dxa"/>
            <w:vAlign w:val="bottom"/>
            <w:gridSpan w:val="11"/>
            <w:vMerge w:val="continue"/>
          </w:tcPr>
          <w:p>
            <w:pPr>
              <w:spacing w:after="0"/>
              <w:rPr>
                <w:sz w:val="14"/>
                <w:szCs w:val="14"/>
                <w:color w:val="auto"/>
              </w:rPr>
            </w:pPr>
          </w:p>
        </w:tc>
        <w:tc>
          <w:tcPr>
            <w:tcW w:w="300" w:type="dxa"/>
            <w:vAlign w:val="bottom"/>
            <w:tcBorders>
              <w:top w:val="single" w:sz="8" w:color="auto"/>
            </w:tcBorders>
          </w:tcPr>
          <w:p>
            <w:pPr>
              <w:jc w:val="right"/>
              <w:spacing w:after="0" w:line="169" w:lineRule="exact"/>
              <w:rPr>
                <w:sz w:val="20"/>
                <w:szCs w:val="20"/>
                <w:color w:val="auto"/>
              </w:rPr>
            </w:pPr>
            <w:r>
              <w:rPr>
                <w:rFonts w:ascii="Times New Roman" w:cs="Times New Roman" w:eastAsia="Times New Roman" w:hAnsi="Times New Roman"/>
                <w:sz w:val="18"/>
                <w:szCs w:val="18"/>
                <w:color w:val="auto"/>
              </w:rPr>
              <w:t>ii</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780" w:type="dxa"/>
            <w:vAlign w:val="bottom"/>
            <w:tcBorders>
              <w:bottom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w w:val="98"/>
              </w:rPr>
              <w:t>CAUTIONARY NOTE REGARDING FORWARD-LOOKING STATEMENTS</w:t>
            </w:r>
          </w:p>
        </w:tc>
        <w:tc>
          <w:tcPr>
            <w:tcW w:w="4880" w:type="dxa"/>
            <w:vAlign w:val="bottom"/>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iii</w:t>
            </w:r>
          </w:p>
        </w:tc>
        <w:tc>
          <w:tcPr>
            <w:tcW w:w="0" w:type="dxa"/>
            <w:vAlign w:val="bottom"/>
          </w:tcPr>
          <w:p>
            <w:pPr>
              <w:spacing w:after="0"/>
              <w:rPr>
                <w:sz w:val="1"/>
                <w:szCs w:val="1"/>
                <w:color w:val="auto"/>
              </w:rPr>
            </w:pPr>
          </w:p>
        </w:tc>
      </w:tr>
      <w:tr>
        <w:trPr>
          <w:trHeight w:val="196"/>
        </w:trPr>
        <w:tc>
          <w:tcPr>
            <w:tcW w:w="10660" w:type="dxa"/>
            <w:vAlign w:val="bottom"/>
            <w:gridSpan w:val="11"/>
          </w:tcPr>
          <w:p>
            <w:pPr>
              <w:spacing w:after="0" w:line="196" w:lineRule="exact"/>
              <w:rPr>
                <w:sz w:val="20"/>
                <w:szCs w:val="20"/>
                <w:color w:val="auto"/>
              </w:rPr>
            </w:pPr>
            <w:r>
              <w:rPr>
                <w:rFonts w:ascii="Times New Roman" w:cs="Times New Roman" w:eastAsia="Times New Roman" w:hAnsi="Times New Roman"/>
                <w:sz w:val="18"/>
                <w:szCs w:val="18"/>
                <w:color w:val="0000EE"/>
              </w:rPr>
              <w:t>PROSPECTUS SUMMARY</w:t>
            </w: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196"/>
        </w:trPr>
        <w:tc>
          <w:tcPr>
            <w:tcW w:w="2080" w:type="dxa"/>
            <w:vAlign w:val="bottom"/>
            <w:tcBorders>
              <w:top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rPr>
              <w:t>RISK FACTORS</w:t>
            </w:r>
          </w:p>
        </w:tc>
        <w:tc>
          <w:tcPr>
            <w:tcW w:w="8580" w:type="dxa"/>
            <w:vAlign w:val="bottom"/>
            <w:gridSpan w:val="5"/>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560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580" w:type="dxa"/>
            <w:vAlign w:val="bottom"/>
            <w:tcBorders>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8"/>
              </w:rPr>
              <w:t>USE OF PROCEEDS</w:t>
            </w:r>
          </w:p>
        </w:tc>
        <w:tc>
          <w:tcPr>
            <w:tcW w:w="9080" w:type="dxa"/>
            <w:vAlign w:val="bottom"/>
            <w:gridSpan w:val="7"/>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196"/>
        </w:trPr>
        <w:tc>
          <w:tcPr>
            <w:tcW w:w="10660" w:type="dxa"/>
            <w:vAlign w:val="bottom"/>
            <w:gridSpan w:val="11"/>
          </w:tcPr>
          <w:p>
            <w:pPr>
              <w:spacing w:after="0" w:line="196" w:lineRule="exact"/>
              <w:rPr>
                <w:sz w:val="20"/>
                <w:szCs w:val="20"/>
                <w:color w:val="auto"/>
              </w:rPr>
            </w:pPr>
            <w:r>
              <w:rPr>
                <w:rFonts w:ascii="Times New Roman" w:cs="Times New Roman" w:eastAsia="Times New Roman" w:hAnsi="Times New Roman"/>
                <w:sz w:val="18"/>
                <w:szCs w:val="18"/>
                <w:color w:val="0000EE"/>
              </w:rPr>
              <w:t>SELLING STOCKHOLDERS</w:t>
            </w: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196"/>
        </w:trPr>
        <w:tc>
          <w:tcPr>
            <w:tcW w:w="2220" w:type="dxa"/>
            <w:vAlign w:val="bottom"/>
            <w:tcBorders>
              <w:top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rPr>
              <w:t>PLAN OF DISTRIBUTION</w:t>
            </w:r>
          </w:p>
        </w:tc>
        <w:tc>
          <w:tcPr>
            <w:tcW w:w="8440" w:type="dxa"/>
            <w:vAlign w:val="bottom"/>
            <w:gridSpan w:val="4"/>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196"/>
        </w:trPr>
        <w:tc>
          <w:tcPr>
            <w:tcW w:w="1460" w:type="dxa"/>
            <w:vAlign w:val="bottom"/>
            <w:tcBorders>
              <w:top w:val="single" w:sz="8" w:color="0000EE"/>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7"/>
              </w:rPr>
              <w:t>LEGAL MATTERS</w:t>
            </w:r>
          </w:p>
        </w:tc>
        <w:tc>
          <w:tcPr>
            <w:tcW w:w="580" w:type="dxa"/>
            <w:vAlign w:val="bottom"/>
            <w:tcBorders>
              <w:top w:val="single" w:sz="8" w:color="0000EE"/>
            </w:tcBorders>
            <w:gridSpan w:val="2"/>
          </w:tcPr>
          <w:p>
            <w:pPr>
              <w:spacing w:after="0"/>
              <w:rPr>
                <w:sz w:val="17"/>
                <w:szCs w:val="17"/>
                <w:color w:val="auto"/>
              </w:rPr>
            </w:pPr>
          </w:p>
        </w:tc>
        <w:tc>
          <w:tcPr>
            <w:tcW w:w="8620" w:type="dxa"/>
            <w:vAlign w:val="bottom"/>
            <w:gridSpan w:val="6"/>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196"/>
        </w:trPr>
        <w:tc>
          <w:tcPr>
            <w:tcW w:w="10660" w:type="dxa"/>
            <w:vAlign w:val="bottom"/>
            <w:gridSpan w:val="11"/>
          </w:tcPr>
          <w:p>
            <w:pPr>
              <w:spacing w:after="0" w:line="196" w:lineRule="exact"/>
              <w:rPr>
                <w:sz w:val="20"/>
                <w:szCs w:val="20"/>
                <w:color w:val="auto"/>
              </w:rPr>
            </w:pPr>
            <w:r>
              <w:rPr>
                <w:rFonts w:ascii="Times New Roman" w:cs="Times New Roman" w:eastAsia="Times New Roman" w:hAnsi="Times New Roman"/>
                <w:sz w:val="18"/>
                <w:szCs w:val="18"/>
                <w:color w:val="0000EE"/>
              </w:rPr>
              <w:t>EXPERTS</w:t>
            </w: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3040" w:type="dxa"/>
            <w:vAlign w:val="bottom"/>
            <w:gridSpan w:val="7"/>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560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60" w:type="dxa"/>
            <w:vAlign w:val="bottom"/>
            <w:gridSpan w:val="11"/>
          </w:tcPr>
          <w:p>
            <w:pPr>
              <w:spacing w:after="0" w:line="196"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0"/>
        </w:trPr>
        <w:tc>
          <w:tcPr>
            <w:tcW w:w="3800" w:type="dxa"/>
            <w:vAlign w:val="bottom"/>
            <w:gridSpan w:val="8"/>
            <w:shd w:val="clear" w:color="auto" w:fill="0000EE"/>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560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60" w:type="dxa"/>
            <w:vAlign w:val="bottom"/>
            <w:tcBorders>
              <w:bottom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w w:val="98"/>
              </w:rPr>
              <w:t>INCORPORATION OF CERTAIN DOCUMENTS BY REFERENCE</w:t>
            </w:r>
          </w:p>
        </w:tc>
        <w:tc>
          <w:tcPr>
            <w:tcW w:w="5600" w:type="dxa"/>
            <w:vAlign w:val="bottom"/>
            <w:gridSpan w:val="2"/>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bl>
    <w:p>
      <w:pPr>
        <w:spacing w:after="0" w:line="221"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b w:val="1"/>
          <w:bCs w:val="1"/>
          <w:color w:val="auto"/>
        </w:rPr>
        <w:t>You should rely only on the information provided in this prospectus, as well as the information incorporated by reference herein and to exhibits to the registration statement of which this prospectus forms a part and any applicable prospectus supplement or amendment. Neither we nor the selling stockholders have authorized anyone to provide you with different information. Neither we nor the selling stockholders are making an offer of these securities in any jurisdiction where the offer is not permitted. You should not assume that the information in this prospectus or any applicable prospectus supplement is accurate as of any date other than the date of the applicable document. Since the date of this prospectus and the documents filed as exhibits to the registration statement of which this prospectus forms a part, our business, financial condition, results of operations and prospects may have changed.</w:t>
      </w:r>
    </w:p>
    <w:p>
      <w:pPr>
        <w:spacing w:after="0" w:line="11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1100"/>
          </w:cols>
          <w:pgMar w:left="320" w:top="455" w:right="47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229" w:lineRule="exact"/>
        <w:rPr>
          <w:sz w:val="20"/>
          <w:szCs w:val="20"/>
          <w:color w:val="auto"/>
        </w:rPr>
      </w:pPr>
    </w:p>
    <w:p>
      <w:pPr>
        <w:ind w:left="120" w:right="180" w:firstLine="440"/>
        <w:spacing w:after="0" w:line="312" w:lineRule="auto"/>
        <w:rPr>
          <w:sz w:val="20"/>
          <w:szCs w:val="20"/>
          <w:color w:val="auto"/>
        </w:rPr>
      </w:pPr>
      <w:r>
        <w:rPr>
          <w:rFonts w:ascii="Times New Roman" w:cs="Times New Roman" w:eastAsia="Times New Roman" w:hAnsi="Times New Roman"/>
          <w:sz w:val="17"/>
          <w:szCs w:val="17"/>
          <w:color w:val="auto"/>
        </w:rPr>
        <w:t>This prospectus is part of a registration statement that we filed with the SEC utilizing a “shelf” registration process. Under this shelf registration process, the selling stockholders may, from time to time, sell the shares of common stock described in this prospectus in one or more offerings.</w:t>
      </w:r>
    </w:p>
    <w:p>
      <w:pPr>
        <w:spacing w:after="0" w:line="140" w:lineRule="exact"/>
        <w:rPr>
          <w:sz w:val="20"/>
          <w:szCs w:val="20"/>
          <w:color w:val="auto"/>
        </w:rPr>
      </w:pPr>
    </w:p>
    <w:p>
      <w:pPr>
        <w:ind w:left="120" w:right="20" w:firstLine="440"/>
        <w:spacing w:after="0" w:line="252" w:lineRule="auto"/>
        <w:rPr>
          <w:sz w:val="20"/>
          <w:szCs w:val="20"/>
          <w:color w:val="auto"/>
        </w:rPr>
      </w:pPr>
      <w:r>
        <w:rPr>
          <w:rFonts w:ascii="Times New Roman" w:cs="Times New Roman" w:eastAsia="Times New Roman" w:hAnsi="Times New Roman"/>
          <w:sz w:val="18"/>
          <w:szCs w:val="18"/>
          <w:color w:val="auto"/>
        </w:rPr>
        <w:t>Neither we, nor the selling stockholders, have authorized anyone to give any information or to make any representation other than those contained or incorporated by reference in this prospectus. You must not rely upon any information or representation not contained or incorporated by reference in this prospectus. The selling stockholders are offering to sell, and seeking offers to buy, shares of our common stock only in jurisdictions where it is lawful to do so. This prospectus does not constitute an offer to sell or the solicitation of an offer to buy any shares other than the registered shares to which it relates, nor does this prospectus constitute an offer to sell or the solicitation of an offer to buy shares in any jurisdiction to any person to whom it is unlawful to make such offer or solicitation in such jurisdiction. You should not assume that the information contained in this prospectus is accurate on any date subsequent to the date set forth on the front of the document or that any information we have incorporated by reference is correct on any date subsequent to the date of the document incorporated by reference, even though this prospectus is delivered or shares are sold on a later date. Our business, financial condition, results of operations and prospects may have changed since those dates. This prospectus incorporates by reference market data and industry statistics and forecasts that are based on independent industry publications and other publicly available information. Although we believe these sources are reliable, we do not guarantee the accuracy or completeness of this information and we have not independently verified this information. In addition, the market and industry data and forecasts that may be included or incorporated by reference in this prospectus may involve estimates, assumptions and other risks and uncertainties and are subject to change based on various factors, including those discussed under the heading “Risk Factors” contained in this prospectus, and under similar headings in other documents that are incorporated by reference into this prospectus. Accordingly, investors should not place undue reliance on this information.</w:t>
      </w:r>
    </w:p>
    <w:p>
      <w:pPr>
        <w:spacing w:after="0" w:line="196"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A prospectus supplement may add to, update or change the information contained in this prospectus. You should read both this prospectus and any applicable prospectus supplement together with additional information described below under the heading “Where You Can Find Additional Information” or incorporated by reference herein as described under the heading “Incorporation of Certain Information by Reference.”</w:t>
      </w:r>
    </w:p>
    <w:p>
      <w:pPr>
        <w:spacing w:after="0" w:line="176"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On November 3, 2023, we consummated the previously announced business combination, or the Merger, pursuant to that certain Agreement and Plan of Merger, or the Merger Agreement, dated July 14, 2023, by and among our company (formerly known as Frequency Therapeutics, Inc., or Frequency), Frequency Merger Sub, Inc., or Merger Sub, and Korro Bio Ops, Inc., or Legacy Korro.</w:t>
      </w:r>
    </w:p>
    <w:p>
      <w:pPr>
        <w:spacing w:after="0" w:line="176"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Pursuant to the terms of the Merger Agreement, a business combination between Frequency and Legacy Korro was effected through the merger of Merger Sub with and into Legacy Korro, with Legacy Korro surviving as a wholly owned subsidiary of Frequency. On the Merger closing date, Frequency changed its name to Korro Bio, Inc.</w:t>
      </w:r>
    </w:p>
    <w:p>
      <w:pPr>
        <w:spacing w:after="0" w:line="176"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Unless the context otherwise indicates, references in this prospectus to “Company,” “we,” “our” and “us” refer, collectively, to Korro Bio, Inc., a Delaware corporation, and its consolidated subsidiaries (including Legacy Korro).</w:t>
      </w:r>
    </w:p>
    <w:p>
      <w:pPr>
        <w:spacing w:after="0" w:line="162" w:lineRule="exact"/>
        <w:rPr>
          <w:sz w:val="20"/>
          <w:szCs w:val="20"/>
          <w:color w:val="auto"/>
        </w:rPr>
      </w:pPr>
    </w:p>
    <w:p>
      <w:pPr>
        <w:jc w:val="both"/>
        <w:ind w:left="120" w:right="260" w:firstLine="440"/>
        <w:spacing w:after="0" w:line="230" w:lineRule="auto"/>
        <w:rPr>
          <w:sz w:val="20"/>
          <w:szCs w:val="20"/>
          <w:color w:val="auto"/>
        </w:rPr>
      </w:pPr>
      <w:r>
        <w:rPr>
          <w:rFonts w:ascii="Times New Roman" w:cs="Times New Roman" w:eastAsia="Times New Roman" w:hAnsi="Times New Roman"/>
          <w:sz w:val="18"/>
          <w:szCs w:val="18"/>
          <w:color w:val="auto"/>
        </w:rPr>
        <w:t xml:space="preserve">We use various trademarks and trade names in our business, including without limitation our corporate name and logo. All other trademarks or trade names referred to in this prospectus are the property of their respective owners. Solely for convenience, the trademarks and trade names in this prospectus may be referred to without the </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symbols, but such references should not be construed as any indicator that their respective owners will not assert, to the fullest extent under applicable law, their rights thereto.</w:t>
      </w:r>
    </w:p>
    <w:p>
      <w:pPr>
        <w:spacing w:after="0" w:line="1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ii</w:t>
      </w:r>
    </w:p>
    <w:p>
      <w:pPr>
        <w:sectPr>
          <w:pgSz w:w="11900" w:h="16838" w:orient="portrait"/>
          <w:cols w:equalWidth="0" w:num="1">
            <w:col w:w="11100"/>
          </w:cols>
          <w:pgMar w:left="320" w:top="455" w:right="47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This prospectus and the documents we have filed with the SEC that are incorporated by reference herein contain statements that are not historical facts and are considered forward-looking within the meaning of Section 27A of the Securities Act of 1933, as amended, or the Securities Act, and Section 21E of the Securities Exchange Act of 1934, as amended, or the Exchange Act. Our forward-looking statements include, but are not limited to, statements regarding our or our management team’s expectations, hopes, beliefs, intentions or strategies regarding the future. In addition, any statements that refer to projections, forecasts or other characterizations of future events or circumstances, including any underlying assumptions, are forward-looking statements. The words “anticipate,” “believe,” “contemplate,” “continue,” “could,” “estimate,” “expect,” “intends,” “may,” “might,” “plan,” “possible,” “potential,” “predict,” “project,” “should,” “will,” “would” and similar expressions may identify forward-looking statements, but the absence of these words does not mean that a statement is not forward-looking. Forward-looking statements in this prospectus and the documents w have filed with the SEC that are incorporated by reference herein may include, for example, statements about:</w:t>
      </w:r>
    </w:p>
    <w:p>
      <w:pPr>
        <w:spacing w:after="0" w:line="94" w:lineRule="exact"/>
        <w:rPr>
          <w:sz w:val="20"/>
          <w:szCs w:val="20"/>
          <w:color w:val="auto"/>
        </w:rPr>
      </w:pPr>
    </w:p>
    <w:p>
      <w:pPr>
        <w:ind w:left="1080" w:right="140" w:hanging="424"/>
        <w:spacing w:after="0" w:line="266" w:lineRule="auto"/>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initiation, timing, progress, results, and cost of our research and development programs and our current and future preclinical studies and clinical trials, including statements regarding the timing of initiation and completion of studies or trials and related preparatory work, the period during which the results of the trials will become available, and our research and development programs;</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strategy;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cash runway and ability to reach data inflection points;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therapeutic and commercial potential of our product candidates;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research and development and other expenses;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comply with, and the impact of, regulatory requirements, obligations and restrictions on our business and operations;</w:t>
      </w:r>
    </w:p>
    <w:p>
      <w:pPr>
        <w:spacing w:after="0" w:line="130" w:lineRule="exact"/>
        <w:rPr>
          <w:rFonts w:ascii="Times New Roman" w:cs="Times New Roman" w:eastAsia="Times New Roman" w:hAnsi="Times New Roman"/>
          <w:sz w:val="18"/>
          <w:szCs w:val="18"/>
          <w:color w:val="auto"/>
        </w:rPr>
      </w:pPr>
    </w:p>
    <w:p>
      <w:pPr>
        <w:ind w:left="1080" w:right="240" w:hanging="424"/>
        <w:spacing w:after="0" w:line="282" w:lineRule="auto"/>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protect our intellectual property and operate our business without infringing upon the intellectual property rights of others, including our ability to obtain and maintain rights to the technologies required to develop and commercialize our product candidates;</w:t>
      </w:r>
    </w:p>
    <w:p>
      <w:pPr>
        <w:spacing w:after="0" w:line="67" w:lineRule="exact"/>
        <w:rPr>
          <w:rFonts w:ascii="Times New Roman" w:cs="Times New Roman" w:eastAsia="Times New Roman" w:hAnsi="Times New Roman"/>
          <w:sz w:val="18"/>
          <w:szCs w:val="18"/>
          <w:color w:val="auto"/>
        </w:rPr>
      </w:pPr>
    </w:p>
    <w:p>
      <w:pPr>
        <w:ind w:left="1080" w:right="320" w:hanging="424"/>
        <w:spacing w:after="0" w:line="282" w:lineRule="auto"/>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competitive developments, including the impact on our competitive position of rival products and product candidates and our ability to meet such competition;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manage the growth of our business.</w:t>
      </w:r>
    </w:p>
    <w:p>
      <w:pPr>
        <w:spacing w:after="0" w:line="225"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These forward-looking statements are subject to known and unknown risks, uncertainties and assumptions about us that may cause our actual results, levels of activity, performance or achievements to be materially different from any future results, levels of activity, performance or achievements expressed or implied by such forward-looking statements, including those set forth in the section titled “Risk Factors” and elsewhere in this prospectus and in our most recent Annual Report on Form 10-K, Quarterly Report on Form 10-Q, Current Report on Form 8-K as well as any amendments thereto reflected in subsequent filings with the SEC, which are incorporated by reference into this prospectus in their entirety, together with other information in this prospectus, the documents incorporated by reference and any free writing prospectus that we may authorize for use in connection with a specific offering. Given these risks and uncertainties, you should not place undue reliance on these forward-looking statements. Should one or more of the risks or uncertainties occur, or should underlying assumptions prove incorrect, actual results and plans could differ materially from those expressed in any forward-looking statements. Except as otherwise required by applicable law, we disclaim any duty to update any forward-looking statements, all of which are expressly qualified by the statements in this section, to reflect events or circumstances after the date of this annual report. We qualify all of our forward-looking statements by these cautionary statements.</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iii</w:t>
      </w:r>
    </w:p>
    <w:p>
      <w:pPr>
        <w:sectPr>
          <w:pgSz w:w="11900" w:h="16838" w:orient="portrait"/>
          <w:cols w:equalWidth="0" w:num="1">
            <w:col w:w="11120"/>
          </w:cols>
          <w:pgMar w:left="320" w:top="455" w:right="4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These risks are not exhaustive. Other sections of this prospectus may include additional factors that could harm our business and financial performance. Moreover, we operate in a very competitive and rapidly changing environment. New risks and uncertainties emerge from time to time, and it is not possible for our management to predict all risks and uncertainties, nor can we assess the impact of all such factors on our business or the extent to which any such factor, or combination of such factors, may cause actual results to differ from those contained in, or implied by, any forward-looking statements.</w:t>
      </w:r>
    </w:p>
    <w:p>
      <w:pPr>
        <w:spacing w:after="0" w:line="183" w:lineRule="exact"/>
        <w:rPr>
          <w:sz w:val="20"/>
          <w:szCs w:val="20"/>
          <w:color w:val="auto"/>
        </w:rPr>
      </w:pPr>
    </w:p>
    <w:p>
      <w:pPr>
        <w:ind w:left="120" w:right="240" w:firstLine="440"/>
        <w:spacing w:after="0" w:line="261" w:lineRule="auto"/>
        <w:rPr>
          <w:sz w:val="20"/>
          <w:szCs w:val="20"/>
          <w:color w:val="auto"/>
        </w:rPr>
      </w:pPr>
      <w:r>
        <w:rPr>
          <w:rFonts w:ascii="Times New Roman" w:cs="Times New Roman" w:eastAsia="Times New Roman" w:hAnsi="Times New Roman"/>
          <w:sz w:val="18"/>
          <w:szCs w:val="18"/>
          <w:color w:val="auto"/>
        </w:rPr>
        <w:t>You should read this prospectus, any applicable prospectus supplement, together with the documents we have filed with the SEC that are incorporated by reference herein and therein and any free writing prospectuses that we may authorize for use in connection with a specific offering completely and with the understanding that our actual future results, levels of activity, performance and achievements may be different from what we expect.</w:t>
      </w:r>
    </w:p>
    <w:p>
      <w:pPr>
        <w:spacing w:after="0" w:line="200" w:lineRule="exact"/>
        <w:rPr>
          <w:sz w:val="20"/>
          <w:szCs w:val="20"/>
          <w:color w:val="auto"/>
        </w:rPr>
      </w:pPr>
    </w:p>
    <w:p>
      <w:pPr>
        <w:spacing w:after="0" w:line="27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iv</w:t>
      </w:r>
    </w:p>
    <w:p>
      <w:pPr>
        <w:sectPr>
          <w:pgSz w:w="11900" w:h="16838" w:orient="portrait"/>
          <w:cols w:equalWidth="0" w:num="1">
            <w:col w:w="11100"/>
          </w:cols>
          <w:pgMar w:left="320" w:top="455" w:right="47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592772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8970" cy="592772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PROSPECTUS SUMMARY</w:t>
      </w:r>
    </w:p>
    <w:p>
      <w:pPr>
        <w:spacing w:after="0" w:line="2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left="300" w:right="120" w:firstLine="426"/>
        <w:spacing w:after="0" w:line="282" w:lineRule="auto"/>
        <w:rPr>
          <w:sz w:val="20"/>
          <w:szCs w:val="20"/>
          <w:color w:val="auto"/>
        </w:rPr>
      </w:pPr>
      <w:r>
        <w:rPr>
          <w:rFonts w:ascii="Times New Roman" w:cs="Times New Roman" w:eastAsia="Times New Roman" w:hAnsi="Times New Roman"/>
          <w:sz w:val="18"/>
          <w:szCs w:val="18"/>
          <w:color w:val="auto"/>
        </w:rPr>
        <w:t>We are a clinical-stage biopharmaceutical company with a mission to discover, develop and commercialize a new class of genetic medicines based on editing RNA, enabling the treatment of both rare and highly prevalent diseases.</w:t>
      </w:r>
    </w:p>
    <w:p>
      <w:pPr>
        <w:spacing w:after="0" w:line="162" w:lineRule="exact"/>
        <w:rPr>
          <w:sz w:val="20"/>
          <w:szCs w:val="20"/>
          <w:color w:val="auto"/>
        </w:rPr>
      </w:pPr>
    </w:p>
    <w:p>
      <w:pPr>
        <w:ind w:left="300" w:right="40" w:firstLine="426"/>
        <w:spacing w:after="0" w:line="254" w:lineRule="auto"/>
        <w:rPr>
          <w:sz w:val="20"/>
          <w:szCs w:val="20"/>
          <w:color w:val="auto"/>
        </w:rPr>
      </w:pPr>
      <w:r>
        <w:rPr>
          <w:rFonts w:ascii="Times New Roman" w:cs="Times New Roman" w:eastAsia="Times New Roman" w:hAnsi="Times New Roman"/>
          <w:sz w:val="18"/>
          <w:szCs w:val="18"/>
          <w:color w:val="auto"/>
        </w:rPr>
        <w:t>We are generating a portfolio of differentiated programs that are designed to harness the body’s natural RNA editing process to effect a precise yet transient single base edit. By editing RNA instead of DNA, we are expanding the reach of genetic medicines by delivering additional precision and tunability, which has the potential for increased specificity and improved long-term tolerability. Using an oligonucleotide-based approach, we expect to bring our medicines to patients by leveraging our proprietary platform with precedented delivery modalities, manufacturing know-how, and established regulatory pathways of approved oligonucleotide drugs. However, the scientific evidence to support the feasibility of developing product candidates using our RNA editing technology is both preliminary and limited. Moreover, regulators have not yet established any definitive guidelines related to overall development considerations for RNA editing therapies and limited clinical data has been generated to date.</w:t>
      </w:r>
    </w:p>
    <w:p>
      <w:pPr>
        <w:spacing w:after="0" w:line="192" w:lineRule="exact"/>
        <w:rPr>
          <w:sz w:val="20"/>
          <w:szCs w:val="20"/>
          <w:color w:val="auto"/>
        </w:rPr>
      </w:pPr>
    </w:p>
    <w:p>
      <w:pPr>
        <w:ind w:left="300" w:firstLine="426"/>
        <w:spacing w:after="0" w:line="272" w:lineRule="auto"/>
        <w:rPr>
          <w:sz w:val="20"/>
          <w:szCs w:val="20"/>
          <w:color w:val="auto"/>
        </w:rPr>
      </w:pPr>
      <w:r>
        <w:rPr>
          <w:rFonts w:ascii="Times New Roman" w:cs="Times New Roman" w:eastAsia="Times New Roman" w:hAnsi="Times New Roman"/>
          <w:sz w:val="17"/>
          <w:szCs w:val="17"/>
          <w:color w:val="auto"/>
        </w:rPr>
        <w:t>The versatility of RNA editing combined with our RNA editing platform, Oligonucleotide Promoted Editing of RNA, or OPERA, broadens the therapeutic target space significantly. While our approach can be used to repair pathogenic single nucleotide variants, or SNVs, as demonstrated by our most advanced program, our Alpha-1 Antitrypsin Deficiency, or AATD, product candidate, we can also engineer de novo SNVs and change amino acids on proteins to endow them with desired properties while preserving their broader functional capabilities, as exemplified by three of our other programs (severe Alcoholic Hepatitis, or SAH, amyotrophic lateral sclerosis, or ALS, Pain). In preclinical studies, we have demonstrated that single RNA changes can disrupt protein-protein interactions, prevent protein aggregation, selectively modulate ion channels and activate kinases. These modification approaches can unlock validated target classes that have historically been difficult to drug, enabling us to pursue a broad range of diseases traditionally out-of-scope for other genetic medicine approaches and current traditional drug modalities.</w:t>
      </w:r>
    </w:p>
    <w:p>
      <w:pPr>
        <w:spacing w:after="0" w:line="172" w:lineRule="exact"/>
        <w:rPr>
          <w:sz w:val="20"/>
          <w:szCs w:val="20"/>
          <w:color w:val="auto"/>
        </w:rPr>
      </w:pPr>
    </w:p>
    <w:p>
      <w:pPr>
        <w:ind w:left="300" w:right="160" w:firstLine="426"/>
        <w:spacing w:after="0" w:line="256" w:lineRule="auto"/>
        <w:rPr>
          <w:sz w:val="20"/>
          <w:szCs w:val="20"/>
          <w:color w:val="auto"/>
        </w:rPr>
      </w:pPr>
      <w:r>
        <w:rPr>
          <w:rFonts w:ascii="Times New Roman" w:cs="Times New Roman" w:eastAsia="Times New Roman" w:hAnsi="Times New Roman"/>
          <w:sz w:val="18"/>
          <w:szCs w:val="18"/>
          <w:color w:val="auto"/>
        </w:rPr>
        <w:t>Our most advanced program is a development candidate, KRRO-110, for the treatment of AATD where, using our proprietary RNA editing approach, we are repairing a pathogenic variant on RNA. KRRO-110 has the potential to be disease-modifying and provide a differentiated therapeutic option. In November 2024, we received approval from the Australian Bellberry Human Research Ethics Committee, or HREC, and Clinical Trial Notification clearance from the Australian Therapeutic Goods Administration, or TGA, to initiate a Phase 1/2 clinical trial of KRRO-110 for AATD in Australia. An interim data readout for the Phase 1/2 clinical trial of KRRO-110 is anticipated in the second half of 2025, and completion of the clinical trial is expected in 2026.</w:t>
      </w:r>
    </w:p>
    <w:p>
      <w:pPr>
        <w:spacing w:after="0" w:line="187" w:lineRule="exact"/>
        <w:rPr>
          <w:sz w:val="20"/>
          <w:szCs w:val="20"/>
          <w:color w:val="auto"/>
        </w:rPr>
      </w:pPr>
    </w:p>
    <w:p>
      <w:pPr>
        <w:ind w:left="300" w:right="100" w:firstLine="426"/>
        <w:spacing w:after="0" w:line="253" w:lineRule="auto"/>
        <w:rPr>
          <w:sz w:val="20"/>
          <w:szCs w:val="20"/>
          <w:color w:val="auto"/>
        </w:rPr>
      </w:pPr>
      <w:r>
        <w:rPr>
          <w:rFonts w:ascii="Times New Roman" w:cs="Times New Roman" w:eastAsia="Times New Roman" w:hAnsi="Times New Roman"/>
          <w:sz w:val="18"/>
          <w:szCs w:val="18"/>
          <w:color w:val="auto"/>
        </w:rPr>
        <w:t>Since inception, we have focused primarily on organizing and staffing our company, business planning, raising capital, securing related intellectual property, and conducting research and development activities for our potential programs and product candidates. Since inception, we have funded our operations primarily through the private placement of our equity securities. We have incurred significant operating losses since inception. We expect to continue to incur significant and increasing expenses and operating losses and negative operating cash flows for the foreseeable future as we continue our research and development efforts, advance product candidates through clinical stages, and seek regulatory approvals for our pipeline candidates. We also expect to incur additional costs associated with maintaining compliance with Nasdaq listing rules and the requirements of the SEC, director and officer liability insurance, investor and public relations activities and other expenses associated with operating as a public company. Our net losses may fluctuate significantly from quarter-to-quarter and year-to-year, depending on the timing of our preclinical studies, initiation and conduct of any clinical trials, and our expenditures on other research and development activities, including the expansion of our pipeline.</w:t>
      </w:r>
    </w:p>
    <w:p>
      <w:pPr>
        <w:spacing w:after="0" w:line="316"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0940"/>
          </w:cols>
          <w:pgMar w:left="320" w:top="455" w:right="6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558482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98970" cy="558482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00" w:firstLine="426"/>
        <w:spacing w:after="0" w:line="253" w:lineRule="auto"/>
        <w:rPr>
          <w:sz w:val="20"/>
          <w:szCs w:val="20"/>
          <w:color w:val="auto"/>
        </w:rPr>
      </w:pPr>
      <w:r>
        <w:rPr>
          <w:rFonts w:ascii="Times New Roman" w:cs="Times New Roman" w:eastAsia="Times New Roman" w:hAnsi="Times New Roman"/>
          <w:sz w:val="18"/>
          <w:szCs w:val="18"/>
          <w:color w:val="auto"/>
        </w:rPr>
        <w:t>We do not have any product candidates approved for sale and have not generated any revenue from product sales. We will not generate revenue from product sales unless and until we successfully obtain regulatory approval for our product candidates, if ever, and as appropriate, move pipeline candidates into the clinic and complete clinical development. We have yet to commence clinical trials on any of our program candidates. If we obtain regulatory approval for our product candidates and do not enter into third-party commercialization partnerships, we expect to incur significant expenses related to developing commercialization capabilities to support product sales, marketing, manufacturing and distribution activities. As a result, we will need substantial additional funding to support our continuing operations and pursue our development and growth strategy. Until we can generate significant revenue from product sales, if ever, we expect to finance our operations through a combination of public or private offerings of securities, debt financings or other sources, such as potential collaboration agreements, strategic alliances and licensing arrangements. We may be unable to raise additional funds or enter into such other agreements or arrangements when needed on acceptable terms, or at all. Our failure to raise capital or enter into such agreements as, and when needed, could have a negative effect on our business, results of operations and financial condition.</w:t>
      </w:r>
    </w:p>
    <w:p>
      <w:pPr>
        <w:spacing w:after="0" w:line="29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121" w:lineRule="exact"/>
        <w:rPr>
          <w:sz w:val="20"/>
          <w:szCs w:val="20"/>
          <w:color w:val="auto"/>
        </w:rPr>
      </w:pPr>
    </w:p>
    <w:p>
      <w:pPr>
        <w:ind w:left="300" w:right="60" w:firstLine="426"/>
        <w:spacing w:after="0" w:line="258" w:lineRule="auto"/>
        <w:rPr>
          <w:sz w:val="20"/>
          <w:szCs w:val="20"/>
          <w:color w:val="auto"/>
        </w:rPr>
      </w:pPr>
      <w:r>
        <w:rPr>
          <w:rFonts w:ascii="Times New Roman" w:cs="Times New Roman" w:eastAsia="Times New Roman" w:hAnsi="Times New Roman"/>
          <w:sz w:val="18"/>
          <w:szCs w:val="18"/>
          <w:color w:val="auto"/>
        </w:rPr>
        <w:t>We were incorporated under the laws of the state of Delaware in November 2014 under the name “Frequency Therapeutics, Inc.”, which was changed to “Korro Bio, Inc.” on the Merger closing date. Our principal executive offices are located at 60 First Street, 2nd floor, Suite 250, Cambridge, Massachusetts 02141, and our telephone number is (617) 468-1999. Our website address is www.korrobio.com. We do not incorporate the information on or accessible through our website into this prospectus, and you should not consider any information on, or that can be accessed through, our website as part of this prospectus. Our common stock is listed on Nasdaq under the symbol “KRRO.”</w:t>
      </w:r>
    </w:p>
    <w:p>
      <w:pPr>
        <w:spacing w:after="0" w:line="28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Implications of Being an Emerging Growth Company and a Smaller Reporting Company</w:t>
      </w:r>
    </w:p>
    <w:p>
      <w:pPr>
        <w:spacing w:after="0" w:line="121" w:lineRule="exact"/>
        <w:rPr>
          <w:sz w:val="20"/>
          <w:szCs w:val="20"/>
          <w:color w:val="auto"/>
        </w:rPr>
      </w:pPr>
    </w:p>
    <w:p>
      <w:pPr>
        <w:ind w:left="300" w:firstLine="426"/>
        <w:spacing w:after="0" w:line="254" w:lineRule="auto"/>
        <w:rPr>
          <w:sz w:val="20"/>
          <w:szCs w:val="20"/>
          <w:color w:val="auto"/>
        </w:rPr>
      </w:pPr>
      <w:r>
        <w:rPr>
          <w:rFonts w:ascii="Times New Roman" w:cs="Times New Roman" w:eastAsia="Times New Roman" w:hAnsi="Times New Roman"/>
          <w:sz w:val="18"/>
          <w:szCs w:val="18"/>
          <w:color w:val="auto"/>
        </w:rPr>
        <w:t>We are an “emerging growth company,” as defined in the Jumpstart Our Business Startups Act of 2012, or the JOBS Act, and we may take advantage of certain exemptions from various reporting requirements that are applicable to other public companies that are not emerging growth companies. We may take advantage of these exemptions until we are no longer an emerging growth company under Section 107 of the JOBS Act, which provides that an emerging growth company can take advantage of the extended transition period afforded by the JOBS Act for the implementation of new or revised accounting standards. We have elected to avail ourselves of the extended transition period and, therefore, while we are an emerging growth company, we will not be subject to new or revised accounting standards at the same time that they become applicable to other public companies that are not emerging growth companies, unless we choose to early adopt a new or revised accounting standard. We will remain an emerging growth company until December 31, 2024, which is the fifth anniversary of the closing of our initial public offering.</w:t>
      </w:r>
    </w:p>
    <w:p>
      <w:pPr>
        <w:spacing w:after="0" w:line="192" w:lineRule="exact"/>
        <w:rPr>
          <w:sz w:val="20"/>
          <w:szCs w:val="20"/>
          <w:color w:val="auto"/>
        </w:rPr>
      </w:pPr>
    </w:p>
    <w:p>
      <w:pPr>
        <w:ind w:left="300" w:right="160" w:firstLine="426"/>
        <w:spacing w:after="0" w:line="258" w:lineRule="auto"/>
        <w:rPr>
          <w:sz w:val="20"/>
          <w:szCs w:val="20"/>
          <w:color w:val="auto"/>
        </w:rPr>
      </w:pPr>
      <w:r>
        <w:rPr>
          <w:rFonts w:ascii="Times New Roman" w:cs="Times New Roman" w:eastAsia="Times New Roman" w:hAnsi="Times New Roman"/>
          <w:sz w:val="18"/>
          <w:szCs w:val="18"/>
          <w:color w:val="auto"/>
        </w:rPr>
        <w:t>Additionally, we are a “smaller reporting company” as defined in Item 10(f)(1) of Regulation S-K. Smaller reporting companies may take advantage of certain reduced disclosure obligations, including, among other things, providing only two years of audited financial statements. We will remain a smaller reporting company until the last day of the fiscal year in which (i) the market value of our common stock held by non-affiliates exceeds $250 million as of the prior June 30, or (ii) our annual revenues exceed $100 million during such completed fiscal year and the market value of our common stock held by non-affiliates exceeds $700 million as of the prior June 30.</w:t>
      </w:r>
    </w:p>
    <w:p>
      <w:pPr>
        <w:spacing w:after="0" w:line="183" w:lineRule="exact"/>
        <w:rPr>
          <w:sz w:val="20"/>
          <w:szCs w:val="20"/>
          <w:color w:val="auto"/>
        </w:rPr>
      </w:pPr>
    </w:p>
    <w:p>
      <w:pPr>
        <w:ind w:left="300" w:right="60" w:firstLine="426"/>
        <w:spacing w:after="0" w:line="282" w:lineRule="auto"/>
        <w:rPr>
          <w:sz w:val="20"/>
          <w:szCs w:val="20"/>
          <w:color w:val="auto"/>
        </w:rPr>
      </w:pPr>
      <w:r>
        <w:rPr>
          <w:rFonts w:ascii="Times New Roman" w:cs="Times New Roman" w:eastAsia="Times New Roman" w:hAnsi="Times New Roman"/>
          <w:sz w:val="18"/>
          <w:szCs w:val="18"/>
          <w:color w:val="auto"/>
        </w:rPr>
        <w:t>As a result, the information in this prospectus and that we provide to our investors in the future may be different than what you might receive from other public reporting companies.</w:t>
      </w:r>
    </w:p>
    <w:p>
      <w:pPr>
        <w:spacing w:after="0" w:line="283"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40"/>
          </w:cols>
          <w:pgMar w:left="320" w:top="455" w:right="6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222250</wp:posOffset>
            </wp:positionV>
            <wp:extent cx="6998970" cy="27559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98970" cy="2755900"/>
                    </a:xfrm>
                    <a:prstGeom prst="rect">
                      <a:avLst/>
                    </a:prstGeom>
                    <a:noFill/>
                  </pic:spPr>
                </pic:pic>
              </a:graphicData>
            </a:graphic>
          </wp:anchor>
        </w:drawing>
      </w:r>
    </w:p>
    <w:p>
      <w:pPr>
        <w:spacing w:after="0" w:line="200" w:lineRule="exact"/>
        <w:rPr>
          <w:sz w:val="20"/>
          <w:szCs w:val="20"/>
          <w:color w:val="auto"/>
        </w:rPr>
      </w:pPr>
    </w:p>
    <w:p>
      <w:pPr>
        <w:spacing w:after="0" w:line="28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The Offering</w:t>
      </w:r>
    </w:p>
    <w:p>
      <w:pPr>
        <w:sectPr>
          <w:pgSz w:w="11900" w:h="16838" w:orient="portrait"/>
          <w:cols w:equalWidth="0" w:num="1">
            <w:col w:w="10840"/>
          </w:cols>
          <w:pgMar w:left="320" w:top="455" w:right="739" w:bottom="1440" w:gutter="0" w:footer="0" w:header="0"/>
        </w:sectPr>
      </w:pPr>
    </w:p>
    <w:p>
      <w:pPr>
        <w:spacing w:after="0" w:line="13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Issuer</w:t>
      </w:r>
    </w:p>
    <w:p>
      <w:pPr>
        <w:spacing w:after="0" w:line="20" w:lineRule="exact"/>
        <w:rPr>
          <w:sz w:val="20"/>
          <w:szCs w:val="20"/>
          <w:color w:val="auto"/>
        </w:rPr>
      </w:pPr>
      <w:r>
        <w:rPr>
          <w:sz w:val="20"/>
          <w:szCs w:val="20"/>
          <w:color w:val="auto"/>
        </w:rPr>
        <w:br w:type="column"/>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Korro Bio, Inc.</w:t>
      </w:r>
    </w:p>
    <w:p>
      <w:pPr>
        <w:spacing w:after="0" w:line="200" w:lineRule="exact"/>
        <w:rPr>
          <w:sz w:val="20"/>
          <w:szCs w:val="20"/>
          <w:color w:val="auto"/>
        </w:rPr>
      </w:pPr>
    </w:p>
    <w:p>
      <w:pPr>
        <w:sectPr>
          <w:pgSz w:w="11900" w:h="16838" w:orient="portrait"/>
          <w:cols w:equalWidth="0" w:num="2">
            <w:col w:w="3620" w:space="720"/>
            <w:col w:w="6500"/>
          </w:cols>
          <w:pgMar w:left="320" w:top="455" w:right="739" w:bottom="1440" w:gutter="0" w:footer="0" w:header="0"/>
          <w:type w:val="continuous"/>
        </w:sectPr>
      </w:pPr>
    </w:p>
    <w:p>
      <w:pPr>
        <w:spacing w:after="0" w:line="77" w:lineRule="exact"/>
        <w:rPr>
          <w:sz w:val="20"/>
          <w:szCs w:val="20"/>
          <w:color w:val="auto"/>
        </w:rPr>
      </w:pPr>
    </w:p>
    <w:p>
      <w:pPr>
        <w:jc w:val="center"/>
        <w:ind w:left="300"/>
        <w:spacing w:after="0"/>
        <w:rPr>
          <w:sz w:val="20"/>
          <w:szCs w:val="20"/>
          <w:color w:val="auto"/>
        </w:rPr>
      </w:pPr>
      <w:r>
        <w:rPr>
          <w:rFonts w:ascii="Times New Roman" w:cs="Times New Roman" w:eastAsia="Times New Roman" w:hAnsi="Times New Roman"/>
          <w:sz w:val="17"/>
          <w:szCs w:val="17"/>
          <w:color w:val="auto"/>
        </w:rPr>
        <w:t>Common stock Offered by the Selling Stockholders</w:t>
      </w:r>
    </w:p>
    <w:p>
      <w:pPr>
        <w:spacing w:after="0" w:line="20" w:lineRule="exact"/>
        <w:rPr>
          <w:sz w:val="20"/>
          <w:szCs w:val="20"/>
          <w:color w:val="auto"/>
        </w:rPr>
      </w:pPr>
      <w:r>
        <w:rPr>
          <w:sz w:val="20"/>
          <w:szCs w:val="20"/>
          <w:color w:val="auto"/>
        </w:rPr>
        <w:br w:type="column"/>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1,213,569 shares of common stock</w:t>
      </w:r>
    </w:p>
    <w:p>
      <w:pPr>
        <w:spacing w:after="0" w:line="200" w:lineRule="exact"/>
        <w:rPr>
          <w:sz w:val="20"/>
          <w:szCs w:val="20"/>
          <w:color w:val="auto"/>
        </w:rPr>
      </w:pPr>
    </w:p>
    <w:p>
      <w:pPr>
        <w:sectPr>
          <w:pgSz w:w="11900" w:h="16838" w:orient="portrait"/>
          <w:cols w:equalWidth="0" w:num="2">
            <w:col w:w="4020" w:space="320"/>
            <w:col w:w="6500"/>
          </w:cols>
          <w:pgMar w:left="320" w:top="455" w:right="739" w:bottom="1440" w:gutter="0" w:footer="0" w:header="0"/>
          <w:type w:val="continuous"/>
        </w:sectPr>
      </w:pPr>
    </w:p>
    <w:p>
      <w:pPr>
        <w:spacing w:after="0" w:line="7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Use of Proceeds</w:t>
      </w:r>
    </w:p>
    <w:p>
      <w:pPr>
        <w:spacing w:after="0" w:line="20" w:lineRule="exact"/>
        <w:rPr>
          <w:sz w:val="20"/>
          <w:szCs w:val="20"/>
          <w:color w:val="auto"/>
        </w:rPr>
      </w:pPr>
      <w:r>
        <w:rPr>
          <w:sz w:val="20"/>
          <w:szCs w:val="20"/>
          <w:color w:val="auto"/>
        </w:rPr>
        <w:br w:type="column"/>
      </w:r>
    </w:p>
    <w:p>
      <w:pPr>
        <w:spacing w:after="0" w:line="57"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We will not receive any proceeds from the sale of the shares of common stock covered by this prospectus.</w:t>
      </w:r>
    </w:p>
    <w:p>
      <w:pPr>
        <w:spacing w:after="0" w:line="189" w:lineRule="exact"/>
        <w:rPr>
          <w:sz w:val="20"/>
          <w:szCs w:val="20"/>
          <w:color w:val="auto"/>
        </w:rPr>
      </w:pPr>
    </w:p>
    <w:p>
      <w:pPr>
        <w:sectPr>
          <w:pgSz w:w="11900" w:h="16838" w:orient="portrait"/>
          <w:cols w:equalWidth="0" w:num="2">
            <w:col w:w="3620" w:space="720"/>
            <w:col w:w="6500"/>
          </w:cols>
          <w:pgMar w:left="320" w:top="455" w:right="739" w:bottom="1440" w:gutter="0" w:footer="0" w:header="0"/>
          <w:type w:val="continuous"/>
        </w:sectPr>
      </w:pPr>
    </w:p>
    <w:p>
      <w:pPr>
        <w:ind w:left="300"/>
        <w:spacing w:after="0"/>
        <w:rPr>
          <w:sz w:val="20"/>
          <w:szCs w:val="20"/>
          <w:color w:val="auto"/>
        </w:rPr>
      </w:pPr>
      <w:r>
        <w:rPr>
          <w:rFonts w:ascii="Times New Roman" w:cs="Times New Roman" w:eastAsia="Times New Roman" w:hAnsi="Times New Roman"/>
          <w:sz w:val="17"/>
          <w:szCs w:val="17"/>
          <w:color w:val="auto"/>
        </w:rPr>
        <w:t>Nasdaq Symbol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KRRO</w:t>
      </w:r>
    </w:p>
    <w:p>
      <w:pPr>
        <w:spacing w:after="0" w:line="200" w:lineRule="exact"/>
        <w:rPr>
          <w:sz w:val="20"/>
          <w:szCs w:val="20"/>
          <w:color w:val="auto"/>
        </w:rPr>
      </w:pPr>
    </w:p>
    <w:p>
      <w:pPr>
        <w:sectPr>
          <w:pgSz w:w="11900" w:h="16838" w:orient="portrait"/>
          <w:cols w:equalWidth="0" w:num="2">
            <w:col w:w="3620" w:space="720"/>
            <w:col w:w="6500"/>
          </w:cols>
          <w:pgMar w:left="320" w:top="455" w:right="739" w:bottom="1440" w:gutter="0" w:footer="0" w:header="0"/>
          <w:type w:val="continuous"/>
        </w:sectPr>
      </w:pPr>
    </w:p>
    <w:p>
      <w:pPr>
        <w:spacing w:after="0" w:line="7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Offering Price</w:t>
      </w:r>
    </w:p>
    <w:p>
      <w:pPr>
        <w:spacing w:after="0" w:line="20" w:lineRule="exact"/>
        <w:rPr>
          <w:sz w:val="20"/>
          <w:szCs w:val="20"/>
          <w:color w:val="auto"/>
        </w:rPr>
      </w:pPr>
      <w:r>
        <w:rPr>
          <w:sz w:val="20"/>
          <w:szCs w:val="20"/>
          <w:color w:val="auto"/>
        </w:rPr>
        <w:br w:type="column"/>
      </w:r>
    </w:p>
    <w:p>
      <w:pPr>
        <w:spacing w:after="0" w:line="57"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 selling stockholders will offer the shares of common stock offered by this prospectus at the prevailing market prices or at privately negotiated prices.</w:t>
      </w:r>
    </w:p>
    <w:p>
      <w:pPr>
        <w:spacing w:after="0" w:line="187" w:lineRule="exact"/>
        <w:rPr>
          <w:sz w:val="20"/>
          <w:szCs w:val="20"/>
          <w:color w:val="auto"/>
        </w:rPr>
      </w:pPr>
    </w:p>
    <w:p>
      <w:pPr>
        <w:sectPr>
          <w:pgSz w:w="11900" w:h="16838" w:orient="portrait"/>
          <w:cols w:equalWidth="0" w:num="2">
            <w:col w:w="3620" w:space="720"/>
            <w:col w:w="6500"/>
          </w:cols>
          <w:pgMar w:left="320" w:top="455" w:right="739" w:bottom="1440" w:gutter="0" w:footer="0" w:header="0"/>
          <w:type w:val="continuous"/>
        </w:sectPr>
      </w:pPr>
    </w:p>
    <w:p>
      <w:pPr>
        <w:spacing w:after="0" w:line="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Risk Factors</w:t>
      </w:r>
    </w:p>
    <w:p>
      <w:pPr>
        <w:spacing w:after="0" w:line="20" w:lineRule="exact"/>
        <w:rPr>
          <w:sz w:val="20"/>
          <w:szCs w:val="20"/>
          <w:color w:val="auto"/>
        </w:rPr>
      </w:pPr>
      <w:r>
        <w:rPr>
          <w:sz w:val="20"/>
          <w:szCs w:val="20"/>
          <w:color w:val="auto"/>
        </w:rPr>
        <w:br w:type="column"/>
      </w:r>
    </w:p>
    <w:p>
      <w:pPr>
        <w:spacing w:after="0" w:line="284" w:lineRule="auto"/>
        <w:rPr>
          <w:sz w:val="20"/>
          <w:szCs w:val="20"/>
          <w:color w:val="auto"/>
        </w:rPr>
      </w:pPr>
      <w:r>
        <w:rPr>
          <w:rFonts w:ascii="Times New Roman" w:cs="Times New Roman" w:eastAsia="Times New Roman" w:hAnsi="Times New Roman"/>
          <w:sz w:val="18"/>
          <w:szCs w:val="18"/>
          <w:color w:val="auto"/>
        </w:rPr>
        <w:t>You should read the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section of this prospectus for a discussion of factors to consider carefully before deciding to invest in shares of our common stock.</w:t>
      </w:r>
    </w:p>
    <w:p>
      <w:pPr>
        <w:spacing w:after="0" w:line="158" w:lineRule="exact"/>
        <w:rPr>
          <w:sz w:val="20"/>
          <w:szCs w:val="20"/>
          <w:color w:val="auto"/>
        </w:rPr>
      </w:pPr>
    </w:p>
    <w:p>
      <w:pPr>
        <w:sectPr>
          <w:pgSz w:w="11900" w:h="16838" w:orient="portrait"/>
          <w:cols w:equalWidth="0" w:num="2">
            <w:col w:w="3620" w:space="720"/>
            <w:col w:w="6500"/>
          </w:cols>
          <w:pgMar w:left="320" w:top="455" w:right="739" w:bottom="1440" w:gutter="0" w:footer="0" w:header="0"/>
          <w:type w:val="continuous"/>
        </w:sectPr>
      </w:pPr>
    </w:p>
    <w:p>
      <w:pPr>
        <w:ind w:left="300"/>
        <w:spacing w:after="0"/>
        <w:rPr>
          <w:sz w:val="20"/>
          <w:szCs w:val="20"/>
          <w:color w:val="auto"/>
        </w:rPr>
      </w:pPr>
      <w:r>
        <w:rPr>
          <w:rFonts w:ascii="Times New Roman" w:cs="Times New Roman" w:eastAsia="Times New Roman" w:hAnsi="Times New Roman"/>
          <w:sz w:val="17"/>
          <w:szCs w:val="17"/>
          <w:color w:val="auto"/>
        </w:rPr>
        <w:t>For additional information concerning the offering, see “</w:t>
      </w:r>
      <w:r>
        <w:rPr>
          <w:rFonts w:ascii="Times New Roman" w:cs="Times New Roman" w:eastAsia="Times New Roman" w:hAnsi="Times New Roman"/>
          <w:sz w:val="17"/>
          <w:szCs w:val="17"/>
          <w:i w:val="1"/>
          <w:iCs w:val="1"/>
          <w:color w:val="auto"/>
        </w:rPr>
        <w:t>Plan of Distribution</w:t>
      </w:r>
      <w:r>
        <w:rPr>
          <w:rFonts w:ascii="Times New Roman" w:cs="Times New Roman" w:eastAsia="Times New Roman" w:hAnsi="Times New Roman"/>
          <w:sz w:val="17"/>
          <w:szCs w:val="17"/>
          <w:color w:val="auto"/>
        </w:rPr>
        <w:t>” beginning on page 8.</w:t>
      </w:r>
    </w:p>
    <w:p>
      <w:pPr>
        <w:spacing w:after="0" w:line="360"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840"/>
          </w:cols>
          <w:pgMar w:left="320" w:top="455" w:right="739" w:bottom="1440" w:gutter="0" w:footer="0" w:header="0"/>
          <w:type w:val="continuous"/>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9"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Investing in our securities involves a high degree of risk. You should carefully consider the risks and uncertainties described under “Risk Factors” in our most recent Annual Report on Form 10-K and in our most recent Quarterly Report on Form 10-Q, as well as any accompanying prospectus supplement, together with all of the other information included or incorporated by reference in this prospectus and in any accompanying prospectus supplement, including our consolidated financial statements and related notes, before deciding whether to purchase our securities.</w:t>
      </w:r>
    </w:p>
    <w:p>
      <w:pPr>
        <w:spacing w:after="0" w:line="180"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Our business, financial condition and results of operations could be materially and adversely affected by any or all of these risks or by additional risks and uncertainties not presently known to us or that we currently deem immaterial that may adversely affect us in the future.</w:t>
      </w:r>
    </w:p>
    <w:p>
      <w:pPr>
        <w:spacing w:after="0" w:line="9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60"/>
          </w:cols>
          <w:pgMar w:left="320" w:top="455" w:right="51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This prospectus relates to the potential resale from time to time of some or all of 1,213,569 shares of our common stock. The selling stockholders will receive all of the proceeds from any sale of such shares. We will not receive any proceeds from any sales of shares of our common stock by the selling stockholders.</w:t>
      </w:r>
    </w:p>
    <w:p>
      <w:pPr>
        <w:spacing w:after="0" w:line="176"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We have agreed to bear the expenses in connection with the registration of the shares of common stock to be offered by this prospectus by the selling stockholders other than any underwriting discounts and commissions or transfer taxes relating to the sale of common stock, which will be borne by the selling stockholders.</w:t>
      </w:r>
    </w:p>
    <w:p>
      <w:pPr>
        <w:spacing w:after="0" w:line="108"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20"/>
          </w:cols>
          <w:pgMar w:left="320" w:top="455" w:right="5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SELLING STOCKHOLDERS</w:t>
      </w:r>
    </w:p>
    <w:p>
      <w:pPr>
        <w:spacing w:after="0" w:line="229"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selling stockholders acquired shares of common stock from us in a private placement pursuant to an exemption from registration under Section 4(a)(2) of the Securities Act, and/or Rule 506 under Regulation D promulgated thereunder. Under the registration rights agreement by and among us and the selling stockholders, we agreed to file a registration statement with the SEC for the purposes of registering for resale from time to time the shares of common stock.</w:t>
      </w:r>
    </w:p>
    <w:p>
      <w:pPr>
        <w:spacing w:after="0" w:line="180" w:lineRule="exact"/>
        <w:rPr>
          <w:sz w:val="20"/>
          <w:szCs w:val="20"/>
          <w:color w:val="auto"/>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color w:val="auto"/>
        </w:rPr>
        <w:t>The table below lists the selling stockholders and other information regarding their ownership of the shares of common stock offered hereby. The second column lists the number of shares of common stock beneficially owned by the selling stockholders as of April 22, 2024 unless otherwise indicated in the footnotes to the table. The selling stockholders may have sold or transferred some or all of the common stock indicated below and may in the future sell or transfer some or all of the common stock indicated below in transactions exempt from the registration requirements of the Securities Act rather than under this prospectus. The third column lists the shares of common stock being offered by this prospectus by the selling stockholders. The fourth column assumes the sale of all of the shares of common stock offered by the selling stockholders pursuant to this prospectus. The selling stockholders may sell all, some or none of their shares of common stock in this offering. See “</w:t>
      </w:r>
      <w:r>
        <w:rPr>
          <w:rFonts w:ascii="Times New Roman" w:cs="Times New Roman" w:eastAsia="Times New Roman" w:hAnsi="Times New Roman"/>
          <w:sz w:val="18"/>
          <w:szCs w:val="18"/>
          <w:i w:val="1"/>
          <w:iCs w:val="1"/>
          <w:color w:val="auto"/>
        </w:rPr>
        <w:t>Plan of Distribution</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Except as indicated by the footnotes below, we believe, based on the information furnished to us, that the selling stockholders have sole voting and investment power with respect to all shares of common stock that they own, subject to applicable community property laws. Beneficial ownership for the purposes of the table below is determined in accordance with the rules and regulations of the SEC. These rules generally provide that a person is the beneficial owner of securities if such person has or shares the power to vote or direct the voting thereof, or to dispose or direct the disposition thereof or has the right to acquire such powers within 60 days. Percentage of beneficial ownership is based on 9,368,262 shares of common stock outstanding as of November 7, 2024.</w:t>
      </w:r>
    </w:p>
    <w:p>
      <w:pPr>
        <w:spacing w:after="0" w:line="195"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5540" w:type="dxa"/>
            <w:vAlign w:val="bottom"/>
          </w:tcPr>
          <w:p>
            <w:pPr>
              <w:spacing w:after="0"/>
              <w:rPr>
                <w:sz w:val="13"/>
                <w:szCs w:val="13"/>
                <w:color w:val="auto"/>
              </w:rPr>
            </w:pPr>
          </w:p>
        </w:tc>
        <w:tc>
          <w:tcPr>
            <w:tcW w:w="1300" w:type="dxa"/>
            <w:vAlign w:val="bottom"/>
            <w:gridSpan w:val="2"/>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200" w:type="dxa"/>
            <w:vAlign w:val="bottom"/>
            <w:gridSpan w:val="2"/>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5540" w:type="dxa"/>
            <w:vAlign w:val="bottom"/>
          </w:tcPr>
          <w:p>
            <w:pPr>
              <w:spacing w:after="0"/>
              <w:rPr>
                <w:sz w:val="12"/>
                <w:szCs w:val="12"/>
                <w:color w:val="auto"/>
              </w:rPr>
            </w:pPr>
          </w:p>
        </w:tc>
        <w:tc>
          <w:tcPr>
            <w:tcW w:w="1300" w:type="dxa"/>
            <w:vAlign w:val="bottom"/>
            <w:gridSpan w:val="2"/>
          </w:tcPr>
          <w:p>
            <w:pPr>
              <w:jc w:val="center"/>
              <w:ind w:right="520"/>
              <w:spacing w:after="0" w:line="149" w:lineRule="exact"/>
              <w:rPr>
                <w:sz w:val="20"/>
                <w:szCs w:val="20"/>
                <w:color w:val="auto"/>
              </w:rPr>
            </w:pPr>
            <w:r>
              <w:rPr>
                <w:rFonts w:ascii="Times New Roman" w:cs="Times New Roman" w:eastAsia="Times New Roman" w:hAnsi="Times New Roman"/>
                <w:sz w:val="14"/>
                <w:szCs w:val="14"/>
                <w:b w:val="1"/>
                <w:bCs w:val="1"/>
                <w:color w:val="auto"/>
              </w:rPr>
              <w:t>Shares</w:t>
            </w:r>
          </w:p>
        </w:tc>
        <w:tc>
          <w:tcPr>
            <w:tcW w:w="1200" w:type="dxa"/>
            <w:vAlign w:val="bottom"/>
            <w:gridSpan w:val="2"/>
          </w:tcPr>
          <w:p>
            <w:pPr>
              <w:jc w:val="center"/>
              <w:ind w:right="520"/>
              <w:spacing w:after="0" w:line="149" w:lineRule="exact"/>
              <w:rPr>
                <w:sz w:val="20"/>
                <w:szCs w:val="20"/>
                <w:color w:val="auto"/>
              </w:rPr>
            </w:pPr>
            <w:r>
              <w:rPr>
                <w:rFonts w:ascii="Times New Roman" w:cs="Times New Roman" w:eastAsia="Times New Roman" w:hAnsi="Times New Roman"/>
                <w:sz w:val="14"/>
                <w:szCs w:val="14"/>
                <w:b w:val="1"/>
                <w:bCs w:val="1"/>
                <w:color w:val="auto"/>
                <w:w w:val="98"/>
              </w:rPr>
              <w:t>Shares</w:t>
            </w:r>
          </w:p>
        </w:tc>
        <w:tc>
          <w:tcPr>
            <w:tcW w:w="2080" w:type="dxa"/>
            <w:vAlign w:val="bottom"/>
            <w:gridSpan w:val="5"/>
            <w:vMerge w:val="restart"/>
          </w:tcPr>
          <w:p>
            <w:pPr>
              <w:ind w:left="360"/>
              <w:spacing w:after="0"/>
              <w:rPr>
                <w:sz w:val="20"/>
                <w:szCs w:val="20"/>
                <w:color w:val="auto"/>
              </w:rPr>
            </w:pPr>
            <w:r>
              <w:rPr>
                <w:rFonts w:ascii="Times New Roman" w:cs="Times New Roman" w:eastAsia="Times New Roman" w:hAnsi="Times New Roman"/>
                <w:sz w:val="14"/>
                <w:szCs w:val="14"/>
                <w:b w:val="1"/>
                <w:bCs w:val="1"/>
                <w:color w:val="auto"/>
              </w:rPr>
              <w:t>Shares Beneficially</w:t>
            </w:r>
          </w:p>
        </w:tc>
        <w:tc>
          <w:tcPr>
            <w:tcW w:w="0" w:type="dxa"/>
            <w:vAlign w:val="bottom"/>
          </w:tcPr>
          <w:p>
            <w:pPr>
              <w:spacing w:after="0"/>
              <w:rPr>
                <w:sz w:val="1"/>
                <w:szCs w:val="1"/>
                <w:color w:val="auto"/>
              </w:rPr>
            </w:pPr>
          </w:p>
        </w:tc>
      </w:tr>
      <w:tr>
        <w:trPr>
          <w:trHeight w:val="54"/>
        </w:trPr>
        <w:tc>
          <w:tcPr>
            <w:tcW w:w="5540" w:type="dxa"/>
            <w:vAlign w:val="bottom"/>
          </w:tcPr>
          <w:p>
            <w:pPr>
              <w:spacing w:after="0"/>
              <w:rPr>
                <w:sz w:val="4"/>
                <w:szCs w:val="4"/>
                <w:color w:val="auto"/>
              </w:rPr>
            </w:pPr>
          </w:p>
        </w:tc>
        <w:tc>
          <w:tcPr>
            <w:tcW w:w="1300" w:type="dxa"/>
            <w:vAlign w:val="bottom"/>
            <w:gridSpan w:val="2"/>
            <w:vMerge w:val="restart"/>
          </w:tcPr>
          <w:p>
            <w:pPr>
              <w:jc w:val="center"/>
              <w:ind w:right="540"/>
              <w:spacing w:after="0" w:line="149" w:lineRule="exact"/>
              <w:rPr>
                <w:sz w:val="20"/>
                <w:szCs w:val="20"/>
                <w:color w:val="auto"/>
              </w:rPr>
            </w:pPr>
            <w:r>
              <w:rPr>
                <w:rFonts w:ascii="Times New Roman" w:cs="Times New Roman" w:eastAsia="Times New Roman" w:hAnsi="Times New Roman"/>
                <w:sz w:val="14"/>
                <w:szCs w:val="14"/>
                <w:b w:val="1"/>
                <w:bCs w:val="1"/>
                <w:color w:val="auto"/>
              </w:rPr>
              <w:t>Beneficially</w:t>
            </w:r>
          </w:p>
        </w:tc>
        <w:tc>
          <w:tcPr>
            <w:tcW w:w="1200" w:type="dxa"/>
            <w:vAlign w:val="bottom"/>
            <w:gridSpan w:val="2"/>
            <w:vMerge w:val="restart"/>
          </w:tcPr>
          <w:p>
            <w:pPr>
              <w:jc w:val="center"/>
              <w:ind w:right="520"/>
              <w:spacing w:after="0" w:line="149" w:lineRule="exact"/>
              <w:rPr>
                <w:sz w:val="20"/>
                <w:szCs w:val="20"/>
                <w:color w:val="auto"/>
              </w:rPr>
            </w:pPr>
            <w:r>
              <w:rPr>
                <w:rFonts w:ascii="Times New Roman" w:cs="Times New Roman" w:eastAsia="Times New Roman" w:hAnsi="Times New Roman"/>
                <w:sz w:val="14"/>
                <w:szCs w:val="14"/>
                <w:b w:val="1"/>
                <w:bCs w:val="1"/>
                <w:color w:val="auto"/>
                <w:w w:val="99"/>
              </w:rPr>
              <w:t>that</w:t>
            </w:r>
          </w:p>
        </w:tc>
        <w:tc>
          <w:tcPr>
            <w:tcW w:w="2080" w:type="dxa"/>
            <w:vAlign w:val="bottom"/>
            <w:gridSpan w:val="5"/>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5"/>
        </w:trPr>
        <w:tc>
          <w:tcPr>
            <w:tcW w:w="5540" w:type="dxa"/>
            <w:vAlign w:val="bottom"/>
          </w:tcPr>
          <w:p>
            <w:pPr>
              <w:spacing w:after="0"/>
              <w:rPr>
                <w:sz w:val="8"/>
                <w:szCs w:val="8"/>
                <w:color w:val="auto"/>
              </w:rPr>
            </w:pPr>
          </w:p>
        </w:tc>
        <w:tc>
          <w:tcPr>
            <w:tcW w:w="1300" w:type="dxa"/>
            <w:vAlign w:val="bottom"/>
            <w:gridSpan w:val="2"/>
            <w:vMerge w:val="continue"/>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1380" w:type="dxa"/>
            <w:vAlign w:val="bottom"/>
            <w:gridSpan w:val="3"/>
            <w:vMerge w:val="restart"/>
          </w:tcPr>
          <w:p>
            <w:pPr>
              <w:jc w:val="right"/>
              <w:ind w:right="920"/>
              <w:spacing w:after="0" w:line="149" w:lineRule="exact"/>
              <w:rPr>
                <w:sz w:val="20"/>
                <w:szCs w:val="20"/>
                <w:color w:val="auto"/>
              </w:rPr>
            </w:pPr>
            <w:r>
              <w:rPr>
                <w:rFonts w:ascii="Times New Roman" w:cs="Times New Roman" w:eastAsia="Times New Roman" w:hAnsi="Times New Roman"/>
                <w:sz w:val="14"/>
                <w:szCs w:val="14"/>
                <w:b w:val="1"/>
                <w:bCs w:val="1"/>
                <w:color w:val="auto"/>
              </w:rPr>
              <w:t>Owned</w:t>
            </w:r>
          </w:p>
        </w:tc>
        <w:tc>
          <w:tcPr>
            <w:tcW w:w="0" w:type="dxa"/>
            <w:vAlign w:val="bottom"/>
          </w:tcPr>
          <w:p>
            <w:pPr>
              <w:spacing w:after="0"/>
              <w:rPr>
                <w:sz w:val="1"/>
                <w:szCs w:val="1"/>
                <w:color w:val="auto"/>
              </w:rPr>
            </w:pPr>
          </w:p>
        </w:tc>
      </w:tr>
      <w:tr>
        <w:trPr>
          <w:trHeight w:val="54"/>
        </w:trPr>
        <w:tc>
          <w:tcPr>
            <w:tcW w:w="5540" w:type="dxa"/>
            <w:vAlign w:val="bottom"/>
          </w:tcPr>
          <w:p>
            <w:pPr>
              <w:spacing w:after="0"/>
              <w:rPr>
                <w:sz w:val="4"/>
                <w:szCs w:val="4"/>
                <w:color w:val="auto"/>
              </w:rPr>
            </w:pPr>
          </w:p>
        </w:tc>
        <w:tc>
          <w:tcPr>
            <w:tcW w:w="1300" w:type="dxa"/>
            <w:vAlign w:val="bottom"/>
            <w:gridSpan w:val="2"/>
            <w:vMerge w:val="restart"/>
          </w:tcPr>
          <w:p>
            <w:pPr>
              <w:jc w:val="center"/>
              <w:ind w:right="540"/>
              <w:spacing w:after="0" w:line="149" w:lineRule="exact"/>
              <w:rPr>
                <w:sz w:val="20"/>
                <w:szCs w:val="20"/>
                <w:color w:val="auto"/>
              </w:rPr>
            </w:pPr>
            <w:r>
              <w:rPr>
                <w:rFonts w:ascii="Times New Roman" w:cs="Times New Roman" w:eastAsia="Times New Roman" w:hAnsi="Times New Roman"/>
                <w:sz w:val="14"/>
                <w:szCs w:val="14"/>
                <w:b w:val="1"/>
                <w:bCs w:val="1"/>
                <w:color w:val="auto"/>
              </w:rPr>
              <w:t>Owned</w:t>
            </w:r>
          </w:p>
        </w:tc>
        <w:tc>
          <w:tcPr>
            <w:tcW w:w="1200" w:type="dxa"/>
            <w:vAlign w:val="bottom"/>
            <w:gridSpan w:val="2"/>
            <w:vMerge w:val="restart"/>
          </w:tcPr>
          <w:p>
            <w:pPr>
              <w:jc w:val="center"/>
              <w:ind w:right="520"/>
              <w:spacing w:after="0" w:line="149" w:lineRule="exact"/>
              <w:rPr>
                <w:sz w:val="20"/>
                <w:szCs w:val="20"/>
                <w:color w:val="auto"/>
              </w:rPr>
            </w:pPr>
            <w:r>
              <w:rPr>
                <w:rFonts w:ascii="Times New Roman" w:cs="Times New Roman" w:eastAsia="Times New Roman" w:hAnsi="Times New Roman"/>
                <w:sz w:val="14"/>
                <w:szCs w:val="14"/>
                <w:b w:val="1"/>
                <w:bCs w:val="1"/>
                <w:color w:val="auto"/>
              </w:rPr>
              <w:t>May Be</w:t>
            </w:r>
          </w:p>
        </w:tc>
        <w:tc>
          <w:tcPr>
            <w:tcW w:w="660" w:type="dxa"/>
            <w:vAlign w:val="bottom"/>
          </w:tcPr>
          <w:p>
            <w:pPr>
              <w:spacing w:after="0"/>
              <w:rPr>
                <w:sz w:val="4"/>
                <w:szCs w:val="4"/>
                <w:color w:val="auto"/>
              </w:rPr>
            </w:pPr>
          </w:p>
        </w:tc>
        <w:tc>
          <w:tcPr>
            <w:tcW w:w="40" w:type="dxa"/>
            <w:vAlign w:val="bottom"/>
          </w:tcPr>
          <w:p>
            <w:pPr>
              <w:spacing w:after="0"/>
              <w:rPr>
                <w:sz w:val="4"/>
                <w:szCs w:val="4"/>
                <w:color w:val="auto"/>
              </w:rPr>
            </w:pPr>
          </w:p>
        </w:tc>
        <w:tc>
          <w:tcPr>
            <w:tcW w:w="138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4"/>
        </w:trPr>
        <w:tc>
          <w:tcPr>
            <w:tcW w:w="5540" w:type="dxa"/>
            <w:vAlign w:val="bottom"/>
          </w:tcPr>
          <w:p>
            <w:pPr>
              <w:spacing w:after="0"/>
              <w:rPr>
                <w:sz w:val="8"/>
                <w:szCs w:val="8"/>
                <w:color w:val="auto"/>
              </w:rPr>
            </w:pPr>
          </w:p>
        </w:tc>
        <w:tc>
          <w:tcPr>
            <w:tcW w:w="1300" w:type="dxa"/>
            <w:vAlign w:val="bottom"/>
            <w:gridSpan w:val="2"/>
            <w:vMerge w:val="continue"/>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1880" w:type="dxa"/>
            <w:vAlign w:val="bottom"/>
            <w:gridSpan w:val="4"/>
            <w:vMerge w:val="restart"/>
          </w:tcPr>
          <w:p>
            <w:pPr>
              <w:ind w:left="380"/>
              <w:spacing w:after="0"/>
              <w:rPr>
                <w:sz w:val="20"/>
                <w:szCs w:val="20"/>
                <w:color w:val="auto"/>
              </w:rPr>
            </w:pPr>
            <w:r>
              <w:rPr>
                <w:rFonts w:ascii="Times New Roman" w:cs="Times New Roman" w:eastAsia="Times New Roman" w:hAnsi="Times New Roman"/>
                <w:sz w:val="14"/>
                <w:szCs w:val="14"/>
                <w:b w:val="1"/>
                <w:bCs w:val="1"/>
                <w:color w:val="auto"/>
              </w:rPr>
              <w:t>After the Offering</w:t>
            </w:r>
          </w:p>
        </w:tc>
        <w:tc>
          <w:tcPr>
            <w:tcW w:w="20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84"/>
        </w:trPr>
        <w:tc>
          <w:tcPr>
            <w:tcW w:w="5540" w:type="dxa"/>
            <w:vAlign w:val="bottom"/>
          </w:tcPr>
          <w:p>
            <w:pPr>
              <w:spacing w:after="0"/>
              <w:rPr>
                <w:sz w:val="6"/>
                <w:szCs w:val="6"/>
                <w:color w:val="auto"/>
              </w:rPr>
            </w:pPr>
          </w:p>
        </w:tc>
        <w:tc>
          <w:tcPr>
            <w:tcW w:w="1300" w:type="dxa"/>
            <w:vAlign w:val="bottom"/>
            <w:gridSpan w:val="2"/>
            <w:vMerge w:val="restart"/>
          </w:tcPr>
          <w:p>
            <w:pPr>
              <w:jc w:val="center"/>
              <w:ind w:right="520"/>
              <w:spacing w:after="0" w:line="149" w:lineRule="exact"/>
              <w:rPr>
                <w:sz w:val="20"/>
                <w:szCs w:val="20"/>
                <w:color w:val="auto"/>
              </w:rPr>
            </w:pPr>
            <w:r>
              <w:rPr>
                <w:rFonts w:ascii="Times New Roman" w:cs="Times New Roman" w:eastAsia="Times New Roman" w:hAnsi="Times New Roman"/>
                <w:sz w:val="14"/>
                <w:szCs w:val="14"/>
                <w:b w:val="1"/>
                <w:bCs w:val="1"/>
                <w:color w:val="auto"/>
              </w:rPr>
              <w:t>Before</w:t>
            </w:r>
          </w:p>
        </w:tc>
        <w:tc>
          <w:tcPr>
            <w:tcW w:w="1200" w:type="dxa"/>
            <w:vAlign w:val="bottom"/>
            <w:gridSpan w:val="2"/>
            <w:vMerge w:val="restart"/>
          </w:tcPr>
          <w:p>
            <w:pPr>
              <w:jc w:val="center"/>
              <w:ind w:right="520"/>
              <w:spacing w:after="0" w:line="149" w:lineRule="exact"/>
              <w:rPr>
                <w:sz w:val="20"/>
                <w:szCs w:val="20"/>
                <w:color w:val="auto"/>
              </w:rPr>
            </w:pPr>
            <w:r>
              <w:rPr>
                <w:rFonts w:ascii="Times New Roman" w:cs="Times New Roman" w:eastAsia="Times New Roman" w:hAnsi="Times New Roman"/>
                <w:sz w:val="14"/>
                <w:szCs w:val="14"/>
                <w:b w:val="1"/>
                <w:bCs w:val="1"/>
                <w:color w:val="auto"/>
              </w:rPr>
              <w:t>Offered</w:t>
            </w:r>
          </w:p>
        </w:tc>
        <w:tc>
          <w:tcPr>
            <w:tcW w:w="1880" w:type="dxa"/>
            <w:vAlign w:val="bottom"/>
            <w:tcBorders>
              <w:bottom w:val="single" w:sz="8" w:color="auto"/>
            </w:tcBorders>
            <w:gridSpan w:val="4"/>
            <w:vMerge w:val="continue"/>
          </w:tcPr>
          <w:p>
            <w:pPr>
              <w:spacing w:after="0"/>
              <w:rPr>
                <w:sz w:val="6"/>
                <w:szCs w:val="6"/>
                <w:color w:val="auto"/>
              </w:rPr>
            </w:pPr>
          </w:p>
        </w:tc>
        <w:tc>
          <w:tcPr>
            <w:tcW w:w="2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50"/>
        </w:trPr>
        <w:tc>
          <w:tcPr>
            <w:tcW w:w="55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and Address of Selling Stockholders</w:t>
            </w:r>
          </w:p>
        </w:tc>
        <w:tc>
          <w:tcPr>
            <w:tcW w:w="1300" w:type="dxa"/>
            <w:vAlign w:val="bottom"/>
            <w:gridSpan w:val="2"/>
            <w:vMerge w:val="continue"/>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70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500" w:type="dxa"/>
            <w:vAlign w:val="bottom"/>
          </w:tcPr>
          <w:p>
            <w:pPr>
              <w:spacing w:after="0"/>
              <w:rPr>
                <w:sz w:val="4"/>
                <w:szCs w:val="4"/>
                <w:color w:val="auto"/>
              </w:rPr>
            </w:pPr>
          </w:p>
        </w:tc>
        <w:tc>
          <w:tcPr>
            <w:tcW w:w="8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0" w:type="dxa"/>
            <w:vAlign w:val="bottom"/>
          </w:tcPr>
          <w:p>
            <w:pPr>
              <w:spacing w:after="0"/>
              <w:rPr>
                <w:sz w:val="1"/>
                <w:szCs w:val="1"/>
                <w:color w:val="auto"/>
              </w:rPr>
            </w:pPr>
          </w:p>
        </w:tc>
      </w:tr>
      <w:tr>
        <w:trPr>
          <w:trHeight w:val="173"/>
        </w:trPr>
        <w:tc>
          <w:tcPr>
            <w:tcW w:w="5540" w:type="dxa"/>
            <w:vAlign w:val="bottom"/>
            <w:vMerge w:val="continue"/>
          </w:tcPr>
          <w:p>
            <w:pPr>
              <w:spacing w:after="0"/>
              <w:rPr>
                <w:sz w:val="15"/>
                <w:szCs w:val="15"/>
                <w:color w:val="auto"/>
              </w:rPr>
            </w:pPr>
          </w:p>
        </w:tc>
        <w:tc>
          <w:tcPr>
            <w:tcW w:w="1300" w:type="dxa"/>
            <w:vAlign w:val="bottom"/>
            <w:gridSpan w:val="2"/>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the Offering</w:t>
            </w:r>
          </w:p>
        </w:tc>
        <w:tc>
          <w:tcPr>
            <w:tcW w:w="120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w w:val="97"/>
              </w:rPr>
              <w:t>Hereby(11)</w:t>
            </w:r>
          </w:p>
        </w:tc>
        <w:tc>
          <w:tcPr>
            <w:tcW w:w="700" w:type="dxa"/>
            <w:vAlign w:val="bottom"/>
            <w:gridSpan w:val="2"/>
            <w:vMerge w:val="continue"/>
          </w:tcPr>
          <w:p>
            <w:pPr>
              <w:spacing w:after="0"/>
              <w:rPr>
                <w:sz w:val="15"/>
                <w:szCs w:val="15"/>
                <w:color w:val="auto"/>
              </w:rPr>
            </w:pPr>
          </w:p>
        </w:tc>
        <w:tc>
          <w:tcPr>
            <w:tcW w:w="500" w:type="dxa"/>
            <w:vAlign w:val="bottom"/>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5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Deep Track Biotechnology Master Fund, Ltd.(1)</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714,285</w:t>
            </w:r>
          </w:p>
        </w:tc>
        <w:tc>
          <w:tcPr>
            <w:tcW w:w="5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714,285</w:t>
            </w:r>
          </w:p>
        </w:tc>
        <w:tc>
          <w:tcPr>
            <w:tcW w:w="5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w w:val="96"/>
              </w:rPr>
              <w:t>— </w:t>
            </w:r>
          </w:p>
        </w:tc>
        <w:tc>
          <w:tcPr>
            <w:tcW w:w="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w w:val="88"/>
              </w:rPr>
              <w:t>— </w:t>
            </w:r>
          </w:p>
        </w:tc>
        <w:tc>
          <w:tcPr>
            <w:tcW w:w="2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Point72 Associates, LLC (2)</w:t>
            </w:r>
          </w:p>
        </w:tc>
        <w:tc>
          <w:tcPr>
            <w:tcW w:w="130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456,085</w:t>
            </w:r>
          </w:p>
        </w:tc>
        <w:tc>
          <w:tcPr>
            <w:tcW w:w="120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178,571</w:t>
            </w: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277,514</w:t>
            </w:r>
          </w:p>
        </w:tc>
        <w:tc>
          <w:tcPr>
            <w:tcW w:w="13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16"/>
        </w:trPr>
        <w:tc>
          <w:tcPr>
            <w:tcW w:w="5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Entities affiliated with Millennium Management LLC (3)</w:t>
            </w:r>
          </w:p>
        </w:tc>
        <w:tc>
          <w:tcPr>
            <w:tcW w:w="130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234,238</w:t>
            </w:r>
          </w:p>
        </w:tc>
        <w:tc>
          <w:tcPr>
            <w:tcW w:w="120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160,000</w:t>
            </w: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74,238</w:t>
            </w:r>
          </w:p>
        </w:tc>
        <w:tc>
          <w:tcPr>
            <w:tcW w:w="138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Rock Springs Capital Master Fund LP (4)</w:t>
            </w:r>
          </w:p>
        </w:tc>
        <w:tc>
          <w:tcPr>
            <w:tcW w:w="130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31,025</w:t>
            </w:r>
          </w:p>
        </w:tc>
        <w:tc>
          <w:tcPr>
            <w:tcW w:w="120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31,021</w:t>
            </w: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w:t>
            </w:r>
          </w:p>
        </w:tc>
        <w:tc>
          <w:tcPr>
            <w:tcW w:w="138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Four Pines Master Fund LP (5)</w:t>
            </w:r>
          </w:p>
        </w:tc>
        <w:tc>
          <w:tcPr>
            <w:tcW w:w="130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4,694</w:t>
            </w:r>
          </w:p>
        </w:tc>
        <w:tc>
          <w:tcPr>
            <w:tcW w:w="120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4,693</w:t>
            </w: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w:t>
            </w:r>
          </w:p>
        </w:tc>
        <w:tc>
          <w:tcPr>
            <w:tcW w:w="138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Riverview Omni Master Fund LP(6)</w:t>
            </w:r>
          </w:p>
        </w:tc>
        <w:tc>
          <w:tcPr>
            <w:tcW w:w="130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57,142</w:t>
            </w:r>
          </w:p>
        </w:tc>
        <w:tc>
          <w:tcPr>
            <w:tcW w:w="120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57,142</w:t>
            </w:r>
          </w:p>
        </w:tc>
        <w:tc>
          <w:tcPr>
            <w:tcW w:w="70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— </w:t>
            </w:r>
          </w:p>
        </w:tc>
        <w:tc>
          <w:tcPr>
            <w:tcW w:w="500" w:type="dxa"/>
            <w:vAlign w:val="bottom"/>
          </w:tcPr>
          <w:p>
            <w:pPr>
              <w:spacing w:after="0"/>
              <w:rPr>
                <w:sz w:val="18"/>
                <w:szCs w:val="18"/>
                <w:color w:val="auto"/>
              </w:rPr>
            </w:pPr>
          </w:p>
        </w:tc>
        <w:tc>
          <w:tcPr>
            <w:tcW w:w="88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5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Tri Locum Healthcare Master Fund LP (7)</w:t>
            </w:r>
          </w:p>
        </w:tc>
        <w:tc>
          <w:tcPr>
            <w:tcW w:w="130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14,286</w:t>
            </w:r>
          </w:p>
        </w:tc>
        <w:tc>
          <w:tcPr>
            <w:tcW w:w="120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14,286</w:t>
            </w:r>
          </w:p>
        </w:tc>
        <w:tc>
          <w:tcPr>
            <w:tcW w:w="70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— </w:t>
            </w:r>
          </w:p>
        </w:tc>
        <w:tc>
          <w:tcPr>
            <w:tcW w:w="5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34"/>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Blue Owl Healthcare Opportunities IV Public Investments LP (8)</w:t>
            </w:r>
          </w:p>
        </w:tc>
        <w:tc>
          <w:tcPr>
            <w:tcW w:w="130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53,571</w:t>
            </w:r>
          </w:p>
        </w:tc>
        <w:tc>
          <w:tcPr>
            <w:tcW w:w="120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53,571</w:t>
            </w:r>
          </w:p>
        </w:tc>
        <w:tc>
          <w:tcPr>
            <w:tcW w:w="70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— </w:t>
            </w:r>
          </w:p>
        </w:tc>
        <w:tc>
          <w:tcPr>
            <w:tcW w:w="500" w:type="dxa"/>
            <w:vAlign w:val="bottom"/>
          </w:tcPr>
          <w:p>
            <w:pPr>
              <w:spacing w:after="0"/>
              <w:rPr>
                <w:sz w:val="20"/>
                <w:szCs w:val="20"/>
                <w:color w:val="auto"/>
              </w:rPr>
            </w:pPr>
          </w:p>
        </w:tc>
        <w:tc>
          <w:tcPr>
            <w:tcW w:w="88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bl>
    <w:p>
      <w:pPr>
        <w:spacing w:after="0" w:line="85" w:lineRule="exact"/>
        <w:rPr>
          <w:sz w:val="20"/>
          <w:szCs w:val="20"/>
          <w:color w:val="auto"/>
        </w:rPr>
      </w:pPr>
    </w:p>
    <w:p>
      <w:pPr>
        <w:ind w:left="540" w:hanging="424"/>
        <w:spacing w:after="0"/>
        <w:tabs>
          <w:tab w:leader="none" w:pos="5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Less than 1%</w:t>
      </w:r>
    </w:p>
    <w:p>
      <w:pPr>
        <w:spacing w:after="0" w:line="27" w:lineRule="exact"/>
        <w:rPr>
          <w:sz w:val="20"/>
          <w:szCs w:val="20"/>
          <w:color w:val="auto"/>
        </w:rPr>
      </w:pPr>
    </w:p>
    <w:p>
      <w:pPr>
        <w:ind w:left="540" w:right="40" w:hanging="424"/>
        <w:spacing w:after="0" w:line="250" w:lineRule="auto"/>
        <w:tabs>
          <w:tab w:leader="none" w:pos="5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listed under “Number of Shares Beneficially Owned Before the Offering” consists of 714,285 shares of our common stock held by Deep Track Biotechnology Master Fund, Ltd., or Deep Track Fund. Deep Track Capital, LP is the investment manager of Deep Track Fund. Deep Track Capital GP, LLC is the General Partner of Deep Track Capital, LP. David Kroin is the managing member of Deep Track Capital GP, LLC. The address for Deep Track Fund is 200 Greenwich Ave, 3rd Floor, Greenwich, CT 06830.</w:t>
      </w:r>
    </w:p>
    <w:p>
      <w:pPr>
        <w:spacing w:after="0" w:line="1" w:lineRule="exact"/>
        <w:rPr>
          <w:rFonts w:ascii="Times New Roman" w:cs="Times New Roman" w:eastAsia="Times New Roman" w:hAnsi="Times New Roman"/>
          <w:sz w:val="18"/>
          <w:szCs w:val="18"/>
          <w:color w:val="auto"/>
        </w:rPr>
      </w:pPr>
    </w:p>
    <w:p>
      <w:pPr>
        <w:ind w:left="540" w:right="140" w:hanging="424"/>
        <w:spacing w:after="0" w:line="255" w:lineRule="auto"/>
        <w:tabs>
          <w:tab w:leader="none" w:pos="5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listed under “Number of Shares Beneficially Owned Before the Offering” consists of 456,085 shares held by Point72 Associates, LLC, or Point72 Associates. Point72 Asset Management, L.P. maintains investment and voting power with respect to the securities held by certain investment funds it manages,</w:t>
      </w:r>
    </w:p>
    <w:p>
      <w:pPr>
        <w:spacing w:after="0" w:line="11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120"/>
          </w:cols>
          <w:pgMar w:left="320" w:top="455" w:right="45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540" w:right="200"/>
        <w:spacing w:after="0" w:line="253" w:lineRule="auto"/>
        <w:rPr>
          <w:sz w:val="20"/>
          <w:szCs w:val="20"/>
          <w:color w:val="auto"/>
        </w:rPr>
      </w:pPr>
      <w:r>
        <w:rPr>
          <w:rFonts w:ascii="Times New Roman" w:cs="Times New Roman" w:eastAsia="Times New Roman" w:hAnsi="Times New Roman"/>
          <w:sz w:val="18"/>
          <w:szCs w:val="18"/>
          <w:color w:val="auto"/>
        </w:rPr>
        <w:t>including Point72 Associates. Point72 Capital Advisors, Inc. is the general partner of Point72 Asset Management, L.P. Mr. Steven A. Cohen controls each of Point72 Asset Management, L.P. and Point72 Capital Advisors, Inc. By reason of the provisions of Rule 13d-3 of the Exchange Act, each of Point72 Asset Management, L.P., Point72 Capital Advisors, Inc., and Mr. Cohen may be deemed to beneficially own the securities directly held by Point72 Associates reflected herein. Each of Point72 Asset Management, L.P., Point72 Capital Advisors, Inc., and Mr. Cohen disclaims beneficial ownership of any such securities. The address of the principal business office of Point72 Associates, Point72 Asset Management, L.P., Point72 Capital Advisors, Inc., and Mr. Cohen is 72 Cummings Point Road, Stamford, CT 06902.</w:t>
      </w:r>
    </w:p>
    <w:p>
      <w:pPr>
        <w:spacing w:after="0" w:line="5" w:lineRule="exact"/>
        <w:rPr>
          <w:sz w:val="20"/>
          <w:szCs w:val="20"/>
          <w:color w:val="auto"/>
        </w:rPr>
      </w:pPr>
    </w:p>
    <w:p>
      <w:pPr>
        <w:ind w:left="540" w:hanging="424"/>
        <w:spacing w:after="0" w:line="250" w:lineRule="auto"/>
        <w:tabs>
          <w:tab w:leader="none" w:pos="5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listed under “Number of Shares Beneficially Owned Before the Offering” consists of (i) 85,404 shares held by ICS Opportunities II LLC, including 40,000 shares acquired in the PIPE Financing, (ii) 88,346 shares held by ICS Opportunities, Ltd., including 60,000 shares acquired in the PIPE Financing, (iii) 60,000 shares held by Integrated Core Strategies (US) LLC, which were acquired in the PIPE Financing, and (iv) 488 shares held by Integrated Assets II LLC. These shares may be deemed to be beneficially owned by Millennium Management LLC, Millennium Group Management LLC and Mr. Israel A. Englander, or Mr. Englander, and/or other investment managers that may be controlled by Millennium Group Management LLC (the managing member of Millennium Management LLC) and Mr. Englander (the sole voting trustee of the managing member of Millennium Group Management LLC). The foregoing should not be construed in and of itself as an admission by Millennium Management LLC, Millennium Group Management LLC or Mr. Englander as to the beneficial ownership of the securities held by ICS Opportunities II LLC, ICS Opportunities, Ltd., Integrated Core Strategies (US) LLC, or Integrated Assets II LLC. The address for each of ICS Opportunities II LLC, ICS Opportunities, Ltd., Integrated Core Strategies (US) LLC, and Integrated Assets II LLC is c/o Millennium Management LLC, 399 Park Avenue, New York, New York 10022.</w:t>
      </w:r>
    </w:p>
    <w:p>
      <w:pPr>
        <w:spacing w:after="0" w:line="4" w:lineRule="exact"/>
        <w:rPr>
          <w:rFonts w:ascii="Times New Roman" w:cs="Times New Roman" w:eastAsia="Times New Roman" w:hAnsi="Times New Roman"/>
          <w:sz w:val="18"/>
          <w:szCs w:val="18"/>
          <w:color w:val="auto"/>
        </w:rPr>
      </w:pPr>
    </w:p>
    <w:p>
      <w:pPr>
        <w:ind w:left="540" w:right="20" w:hanging="424"/>
        <w:spacing w:after="0" w:line="250" w:lineRule="auto"/>
        <w:tabs>
          <w:tab w:leader="none" w:pos="5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listed under “Number of Shares Beneficially Owned Before the Offering” consists of 31,025 shares held by Rock Springs Capital Master Fund LP. Rock Springs General Partner LLC is the general partner of Rock Springs Capital Master Fund LP. The address for Rock Springs Capital Master Fund LP is 650 South Exeter St., Suite 1070, Baltimore, Maryland 21202.</w:t>
      </w:r>
    </w:p>
    <w:p>
      <w:pPr>
        <w:spacing w:after="0" w:line="1" w:lineRule="exact"/>
        <w:rPr>
          <w:rFonts w:ascii="Times New Roman" w:cs="Times New Roman" w:eastAsia="Times New Roman" w:hAnsi="Times New Roman"/>
          <w:sz w:val="18"/>
          <w:szCs w:val="18"/>
          <w:color w:val="auto"/>
        </w:rPr>
      </w:pPr>
    </w:p>
    <w:p>
      <w:pPr>
        <w:ind w:left="540" w:right="280" w:hanging="424"/>
        <w:spacing w:after="0" w:line="250" w:lineRule="auto"/>
        <w:tabs>
          <w:tab w:leader="none" w:pos="5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listed under “Number of Shares Beneficially Owned Before the Offering” consists of 4,694 shares held by Four Pines Master Fund LP. Four Pines General Partner LLC is the general partner of Four Pines Master Fund LP. The address for Four Pines Master Fund LP is 650 South Exeter St., Suite 1070, Baltimore, Maryland 21202.</w:t>
      </w:r>
    </w:p>
    <w:p>
      <w:pPr>
        <w:spacing w:after="0" w:line="1" w:lineRule="exact"/>
        <w:rPr>
          <w:rFonts w:ascii="Times New Roman" w:cs="Times New Roman" w:eastAsia="Times New Roman" w:hAnsi="Times New Roman"/>
          <w:sz w:val="18"/>
          <w:szCs w:val="18"/>
          <w:color w:val="auto"/>
        </w:rPr>
      </w:pPr>
    </w:p>
    <w:p>
      <w:pPr>
        <w:ind w:left="540" w:right="100" w:hanging="424"/>
        <w:spacing w:after="0" w:line="250" w:lineRule="auto"/>
        <w:tabs>
          <w:tab w:leader="none" w:pos="5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listed under “Number of Shares Beneficially Owned Before the Offering” consists of 57,142 shares held by Riverview Omni Master Fund LP. Tri Locum Partners LP is the sub-advisor to Riverview Omni Master Fund LP. Tri Locum Partners GP LLC is the general partner of Tri Locum Partners LP. Dr. Prashanth Jayaram is the managing member of Tri Locum Partners GP LLC. The address for Riverview Omni Master Fund LP is c/o Tri Locum Partners LP, 287 Park Avenue South, 2nd Floor, New York, NY 10010.</w:t>
      </w:r>
    </w:p>
    <w:p>
      <w:pPr>
        <w:spacing w:after="0" w:line="1" w:lineRule="exact"/>
        <w:rPr>
          <w:rFonts w:ascii="Times New Roman" w:cs="Times New Roman" w:eastAsia="Times New Roman" w:hAnsi="Times New Roman"/>
          <w:sz w:val="18"/>
          <w:szCs w:val="18"/>
          <w:color w:val="auto"/>
        </w:rPr>
      </w:pPr>
    </w:p>
    <w:p>
      <w:pPr>
        <w:ind w:left="540" w:right="140" w:hanging="424"/>
        <w:spacing w:after="0" w:line="250" w:lineRule="auto"/>
        <w:tabs>
          <w:tab w:leader="none" w:pos="5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listed under “Number of Shares Beneficially Owned Before the Offering” consists of 14,286 shares held by Tri Locum Healthcare Master Fund LP. Tri Locum Partners LP is the investment advisor to Tri Locum Healthcare Master Fund LP. Tri Locum Partners GP LLC is the general partner of Tri Locum Partners LP. Dr. Prashanth Jayaram is the managing member of Tri Locum Partners GP LLC. The address for Tri Locum Healthcare Master Fund LP is c/o Tri Locum Partners LP, 287 Park Avenue South, 2nd Floor, New York, NY 10010.</w:t>
      </w:r>
    </w:p>
    <w:p>
      <w:pPr>
        <w:spacing w:after="0" w:line="1" w:lineRule="exact"/>
        <w:rPr>
          <w:rFonts w:ascii="Times New Roman" w:cs="Times New Roman" w:eastAsia="Times New Roman" w:hAnsi="Times New Roman"/>
          <w:sz w:val="18"/>
          <w:szCs w:val="18"/>
          <w:color w:val="auto"/>
        </w:rPr>
      </w:pPr>
    </w:p>
    <w:p>
      <w:pPr>
        <w:ind w:left="540" w:right="280" w:hanging="424"/>
        <w:spacing w:after="0" w:line="270" w:lineRule="auto"/>
        <w:tabs>
          <w:tab w:leader="none" w:pos="54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Shares listed under “Number of Shares Beneficially Owned Before the Offering” consists of 53,571 shares held by Blue Owl Healthcare Opportunities IV Public Investments LP. Blue Owl Healthcare Opportunities Advisors LLC is the investment manager of Blue Owl Healthcare Opportunities IV Public Investments LP and has voting and investment power over the shares held by Blue Owl Healthcare Opportunities IV Public Investments LP. Blue Owl Healthcare Opportunities Advisors LLC exercises voting and investment power through an investment committee comprised of Kevin Raidy, Timothy Anderson, Sandip Agarwala, and Brandyn Itzkowitz who each disclaims beneficial ownership over these securities. The address for Blue Owl Healthcare Advisers LLC is c/o 399 Park Avenue, 38th Floor, New York, NY 10022.</w:t>
      </w:r>
    </w:p>
    <w:p>
      <w:pPr>
        <w:spacing w:after="0" w:line="10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120"/>
          </w:cols>
          <w:pgMar w:left="320" w:top="455" w:right="45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Each selling stockholder of the securities and any of their pledgees, assignees, donees, transferees or other successors-in-interest may, from time to time, sell, transfer or otherwise dispose of any or all of their securities covered hereby on the Nasdaq Global Select Market, the Nasdaq Global Market, the Nasdaq Capital Market, or the New York Stock Exchange or any other stock exchange, market or trading facility on which the securities are traded or in private transactions. These sales may be at fixed or negotiated prices. A selling stockholder may use any one or more of the following methods when selling securities:</w:t>
      </w:r>
    </w:p>
    <w:p>
      <w:pPr>
        <w:spacing w:after="0" w:line="89" w:lineRule="exact"/>
        <w:rPr>
          <w:sz w:val="20"/>
          <w:szCs w:val="20"/>
          <w:color w:val="auto"/>
        </w:rPr>
      </w:pPr>
    </w:p>
    <w:p>
      <w:pPr>
        <w:ind w:left="1080" w:hanging="424"/>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ordinary brokerage transactions and transactions in which the broker-dealer solicits purchasers;</w:t>
      </w:r>
    </w:p>
    <w:p>
      <w:pPr>
        <w:spacing w:after="0" w:line="130" w:lineRule="exact"/>
        <w:rPr>
          <w:rFonts w:ascii="Times New Roman" w:cs="Times New Roman" w:eastAsia="Times New Roman" w:hAnsi="Times New Roman"/>
          <w:sz w:val="18"/>
          <w:szCs w:val="18"/>
          <w:color w:val="auto"/>
        </w:rPr>
      </w:pPr>
    </w:p>
    <w:p>
      <w:pPr>
        <w:ind w:left="1080" w:right="420" w:hanging="424"/>
        <w:spacing w:after="0" w:line="282" w:lineRule="auto"/>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block trades in which the broker-dealer will attempt to sell the securities as agent but may position and resell a portion of the block as principal to facilitate the transaction;</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purchases by a broker-dealer as principal and resale by the broker-dealer for its account;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exchange distribution in accordance with the rules of the applicable exchange;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privately negotiated transactions;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settlement of short sales;</w:t>
      </w:r>
    </w:p>
    <w:p>
      <w:pPr>
        <w:spacing w:after="0" w:line="130" w:lineRule="exact"/>
        <w:rPr>
          <w:rFonts w:ascii="Times New Roman" w:cs="Times New Roman" w:eastAsia="Times New Roman" w:hAnsi="Times New Roman"/>
          <w:sz w:val="18"/>
          <w:szCs w:val="18"/>
          <w:color w:val="auto"/>
        </w:rPr>
      </w:pPr>
    </w:p>
    <w:p>
      <w:pPr>
        <w:ind w:left="1080" w:right="220" w:hanging="424"/>
        <w:spacing w:after="0" w:line="282" w:lineRule="auto"/>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transactions through broker-dealers that agree with the selling stockholders to sell a specified number of such securities at a stipulated price per security;</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the writing or settlement of options or other hedging transactions, whether through an options exchange or otherwise;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combination of any such methods of sale;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method permitted pursuant to applicable law.</w:t>
      </w:r>
    </w:p>
    <w:p>
      <w:pPr>
        <w:spacing w:after="0" w:line="225" w:lineRule="exact"/>
        <w:rPr>
          <w:sz w:val="20"/>
          <w:szCs w:val="20"/>
          <w:color w:val="auto"/>
        </w:rPr>
      </w:pPr>
    </w:p>
    <w:p>
      <w:pPr>
        <w:ind w:left="120" w:right="240" w:firstLine="440"/>
        <w:spacing w:after="0" w:line="282" w:lineRule="auto"/>
        <w:rPr>
          <w:sz w:val="20"/>
          <w:szCs w:val="20"/>
          <w:color w:val="auto"/>
        </w:rPr>
      </w:pPr>
      <w:r>
        <w:rPr>
          <w:rFonts w:ascii="Times New Roman" w:cs="Times New Roman" w:eastAsia="Times New Roman" w:hAnsi="Times New Roman"/>
          <w:sz w:val="18"/>
          <w:szCs w:val="18"/>
          <w:color w:val="auto"/>
        </w:rPr>
        <w:t>The selling stockholders may also sell securities under Rule 144 or any other exemption from registration under the Securities Act, if available, rather than under this prospectus.</w:t>
      </w:r>
    </w:p>
    <w:p>
      <w:pPr>
        <w:spacing w:after="0" w:line="162" w:lineRule="exact"/>
        <w:rPr>
          <w:sz w:val="20"/>
          <w:szCs w:val="20"/>
          <w:color w:val="auto"/>
        </w:rPr>
      </w:pPr>
    </w:p>
    <w:p>
      <w:pPr>
        <w:ind w:left="120" w:right="260" w:firstLine="440"/>
        <w:spacing w:after="0" w:line="258" w:lineRule="auto"/>
        <w:rPr>
          <w:sz w:val="20"/>
          <w:szCs w:val="20"/>
          <w:color w:val="auto"/>
        </w:rPr>
      </w:pPr>
      <w:r>
        <w:rPr>
          <w:rFonts w:ascii="Times New Roman" w:cs="Times New Roman" w:eastAsia="Times New Roman" w:hAnsi="Times New Roman"/>
          <w:sz w:val="18"/>
          <w:szCs w:val="18"/>
          <w:color w:val="auto"/>
        </w:rPr>
        <w:t>Broker-dealers engaged by the selling stockholders may arrange for other brokers-dealers to participate in sales. Broker-dealers may receive commissions or discounts from the selling stockholders (or, if any broker-dealer acts as agent for the purchaser of securities, from the purchaser) in amounts to be negotiated, but, except as set forth in a supplement to this prospectus, in the case of an agency transaction not in excess of a customary brokerage commission in compliance with FINRA Rule 2121; and in the case of a principal transaction a markup or markdown in compliance with FINRA Rule 2121.</w:t>
      </w:r>
    </w:p>
    <w:p>
      <w:pPr>
        <w:spacing w:after="0" w:line="183"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In connection with the sale of the securities or interests therein, the selling stockholders may enter into hedging transactions with broker-dealers or other financial institutions, which may in turn engage in short sales of the securities in the course of hedging the positions they assume. The selling stockholders may also sell securities short and deliver these securities to close out their short positions, or loan or pledge the securities to broker-dealers that in turn may sell these securities. The selling stockholders may also enter into option or other transactions with broker-dealers or other financial institutions or create one or more derivative securities that require the delivery to such broker-dealer or other financial institution of securities offered by this prospectus, which securities such broker-dealer or other financial institution may resell pursuant to this prospectus (as supplemented or amended to reflect such transaction). The selling stockholders also may transfer the securities in other circumstances, in which case the transferees, pledgees, donees or other successors in interest will be the selling beneficial owners for purposes of this prospectus.</w:t>
      </w:r>
    </w:p>
    <w:p>
      <w:pPr>
        <w:spacing w:after="0" w:line="192"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The selling stockholders and any broker-dealers or agents that are involved in selling the securities may be deemed to be “underwriters” within the meaning of the Securities Act in connection with such sales (it being understood that the selling stockholders shall not be deemed to be underwriters solely as a result of their</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120"/>
          </w:cols>
          <w:pgMar w:left="320" w:top="455" w:right="45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60"/>
        <w:spacing w:after="0" w:line="266" w:lineRule="auto"/>
        <w:rPr>
          <w:sz w:val="20"/>
          <w:szCs w:val="20"/>
          <w:color w:val="auto"/>
        </w:rPr>
      </w:pPr>
      <w:r>
        <w:rPr>
          <w:rFonts w:ascii="Times New Roman" w:cs="Times New Roman" w:eastAsia="Times New Roman" w:hAnsi="Times New Roman"/>
          <w:sz w:val="18"/>
          <w:szCs w:val="18"/>
          <w:color w:val="auto"/>
        </w:rPr>
        <w:t>participation in this offering). In such event, any commissions received by such broker-dealers or agents and any profit on the resale of the securities purchased by them may be deemed to be underwriting commissions or discounts under the Securities Act. Each selling stockholder has informed us that it does not have any written or oral agreement or understanding, directly or indirectly, with any person to distribute the securities.</w:t>
      </w:r>
    </w:p>
    <w:p>
      <w:pPr>
        <w:spacing w:after="0" w:line="176" w:lineRule="exact"/>
        <w:rPr>
          <w:sz w:val="20"/>
          <w:szCs w:val="20"/>
          <w:color w:val="auto"/>
        </w:rPr>
      </w:pPr>
    </w:p>
    <w:p>
      <w:pPr>
        <w:ind w:left="120" w:right="420" w:firstLine="440"/>
        <w:spacing w:after="0" w:line="282" w:lineRule="auto"/>
        <w:rPr>
          <w:sz w:val="20"/>
          <w:szCs w:val="20"/>
          <w:color w:val="auto"/>
        </w:rPr>
      </w:pPr>
      <w:r>
        <w:rPr>
          <w:rFonts w:ascii="Times New Roman" w:cs="Times New Roman" w:eastAsia="Times New Roman" w:hAnsi="Times New Roman"/>
          <w:sz w:val="18"/>
          <w:szCs w:val="18"/>
          <w:color w:val="auto"/>
        </w:rPr>
        <w:t>We are required to pay certain fees and expenses incurred by us incident to the registration of the securities. We have agreed to indemnify the selling stockholders against certain losses, claims, damages and liabilities, including liabilities under the Securities Act.</w:t>
      </w:r>
    </w:p>
    <w:p>
      <w:pPr>
        <w:spacing w:after="0" w:line="162"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We agreed to keep this prospectus effective until the earlier of the date that the securities (i) have been sold, pursuant to this prospectus or pursuant to Rule 144, or (ii) the date on which the securities may be resold by the selling stockholders without registration and without regard to any volume or manner-of-sale limitations by reason of Rule 144, and without the requirement for us to be in compliance with the current public information under Rule 144 under the Securities Act or any other rule of similar effect. The resale securities will be sold only through registered or licensed brokers or dealers if required under applicable state securities laws. In addition, in certain states, the resale securities covered hereby may not be sold unless they have been registered or qualified for sale in the applicable state or an exemption from the registration or qualification requirement is available and is complied with.</w:t>
      </w:r>
    </w:p>
    <w:p>
      <w:pPr>
        <w:spacing w:after="0" w:line="189" w:lineRule="exact"/>
        <w:rPr>
          <w:sz w:val="20"/>
          <w:szCs w:val="20"/>
          <w:color w:val="auto"/>
        </w:rPr>
      </w:pPr>
    </w:p>
    <w:p>
      <w:pPr>
        <w:ind w:left="120" w:right="100" w:firstLine="440"/>
        <w:spacing w:after="0" w:line="256" w:lineRule="auto"/>
        <w:rPr>
          <w:sz w:val="20"/>
          <w:szCs w:val="20"/>
          <w:color w:val="auto"/>
        </w:rPr>
      </w:pPr>
      <w:r>
        <w:rPr>
          <w:rFonts w:ascii="Times New Roman" w:cs="Times New Roman" w:eastAsia="Times New Roman" w:hAnsi="Times New Roman"/>
          <w:sz w:val="18"/>
          <w:szCs w:val="18"/>
          <w:color w:val="auto"/>
        </w:rPr>
        <w:t>Under applicable rules and regulations under the Exchange Act, any person engaged in the distribution of the resale securities may not simultaneously engage in market making activities with respect to the common stock for the applicable restricted period, as defined in Regulation M, prior to the commencement of the distribution. In addition, the selling stockholders will be subject to applicable provisions of the Exchange Act and the rules and regulations thereunder, including Regulation M, which may limit the timing of purchases and sales of the common stock by the selling stockholders or any other person. We will make copies of this prospectus available to the selling stockholders and have informed them of the need to deliver a copy of this prospectus to each purchaser at or prior to the time of the sale (including by compliance with Rule 172 under the Securities Act).</w:t>
      </w:r>
    </w:p>
    <w:p>
      <w:pPr>
        <w:spacing w:after="0" w:line="1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will not receive any proceeds from sales of any shares of common stock by the selling stockholders.</w:t>
      </w:r>
    </w:p>
    <w:p>
      <w:pPr>
        <w:spacing w:after="0" w:line="225"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We cannot assure you that the selling stockholders will sell all or any portion of the shares of common stock offered hereby. We are registering the resale of shares of our common stock to provide the selling stockholders with freely tradable securities, but the registration of such shares does not necessarily mean that any of such shares will be offered or sold by the selling stockholders pursuant to this prospectus or at all.</w:t>
      </w:r>
    </w:p>
    <w:p>
      <w:pPr>
        <w:spacing w:after="0" w:line="176" w:lineRule="exact"/>
        <w:rPr>
          <w:sz w:val="20"/>
          <w:szCs w:val="20"/>
          <w:color w:val="auto"/>
        </w:rPr>
      </w:pPr>
    </w:p>
    <w:p>
      <w:pPr>
        <w:jc w:val="center"/>
        <w:ind w:right="120"/>
        <w:spacing w:after="0" w:line="454" w:lineRule="auto"/>
        <w:rPr>
          <w:sz w:val="20"/>
          <w:szCs w:val="20"/>
          <w:color w:val="auto"/>
        </w:rPr>
      </w:pPr>
      <w:r>
        <w:rPr>
          <w:rFonts w:ascii="Times New Roman" w:cs="Times New Roman" w:eastAsia="Times New Roman" w:hAnsi="Times New Roman"/>
          <w:sz w:val="18"/>
          <w:szCs w:val="18"/>
          <w:color w:val="auto"/>
        </w:rPr>
        <w:t>To the extent required, this prospectus may be amended and/or supplemented from time to time to describe a specific plan of distribution. 9</w:t>
      </w:r>
    </w:p>
    <w:p>
      <w:pPr>
        <w:sectPr>
          <w:pgSz w:w="11900" w:h="16838" w:orient="portrait"/>
          <w:cols w:equalWidth="0" w:num="1">
            <w:col w:w="11140"/>
          </w:cols>
          <w:pgMar w:left="320" w:top="455" w:right="4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validity of the common stock being offered by this prospectus has been passed upon for us by Goodwin Procter LLP, Boston, Massachusetts.</w:t>
      </w:r>
    </w:p>
    <w:p>
      <w:pPr>
        <w:spacing w:after="0" w:line="200" w:lineRule="exact"/>
        <w:rPr>
          <w:sz w:val="20"/>
          <w:szCs w:val="20"/>
          <w:color w:val="auto"/>
        </w:rPr>
      </w:pPr>
    </w:p>
    <w:p>
      <w:pPr>
        <w:spacing w:after="0" w:line="23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consolidated financial statements of Korro Bio, Inc. appearing in Korro Bio, Inc.’s Annual Report (Form 10-K) for the year ended December 31, 2023 have been audited by Ernst &amp; Young LLP, independent registered public accounting firm, as set forth in their report thereon, included therein, and incorporated herein by reference. Such consolidated financial statements are incorporated herein by reference in reliance upon such report given on the authority of such firm as experts in accounting and auditing.</w:t>
      </w:r>
    </w:p>
    <w:p>
      <w:pPr>
        <w:spacing w:after="0" w:line="39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ind w:left="120" w:right="300" w:firstLine="440"/>
        <w:spacing w:after="0" w:line="266" w:lineRule="auto"/>
        <w:rPr>
          <w:sz w:val="20"/>
          <w:szCs w:val="20"/>
          <w:color w:val="auto"/>
        </w:rPr>
      </w:pPr>
      <w:r>
        <w:rPr>
          <w:rFonts w:ascii="Times New Roman" w:cs="Times New Roman" w:eastAsia="Times New Roman" w:hAnsi="Times New Roman"/>
          <w:sz w:val="18"/>
          <w:szCs w:val="18"/>
          <w:color w:val="auto"/>
        </w:rPr>
        <w:t xml:space="preserve">We file annual, quarterly and current reports, proxy statements and other information with the SEC. The SEC maintains a website that contains reports, proxy and information statements and other information about issuers, such as us, who file electronically with the SEC. The address of that website is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w:t>
      </w:r>
    </w:p>
    <w:p>
      <w:pPr>
        <w:spacing w:after="0" w:line="174" w:lineRule="exact"/>
        <w:rPr>
          <w:sz w:val="20"/>
          <w:szCs w:val="20"/>
          <w:color w:val="auto"/>
        </w:rPr>
      </w:pPr>
    </w:p>
    <w:p>
      <w:pPr>
        <w:ind w:left="120" w:right="640" w:firstLine="440"/>
        <w:spacing w:after="0" w:line="284" w:lineRule="auto"/>
        <w:rPr>
          <w:sz w:val="20"/>
          <w:szCs w:val="20"/>
          <w:color w:val="auto"/>
        </w:rPr>
      </w:pPr>
      <w:r>
        <w:rPr>
          <w:rFonts w:ascii="Times New Roman" w:cs="Times New Roman" w:eastAsia="Times New Roman" w:hAnsi="Times New Roman"/>
          <w:sz w:val="18"/>
          <w:szCs w:val="18"/>
          <w:color w:val="auto"/>
        </w:rPr>
        <w:t xml:space="preserve">Our website address is </w:t>
      </w:r>
      <w:r>
        <w:rPr>
          <w:rFonts w:ascii="Times New Roman" w:cs="Times New Roman" w:eastAsia="Times New Roman" w:hAnsi="Times New Roman"/>
          <w:sz w:val="18"/>
          <w:szCs w:val="18"/>
          <w:i w:val="1"/>
          <w:iCs w:val="1"/>
          <w:color w:val="auto"/>
        </w:rPr>
        <w:t>www.korrobio.com</w:t>
      </w:r>
      <w:r>
        <w:rPr>
          <w:rFonts w:ascii="Times New Roman" w:cs="Times New Roman" w:eastAsia="Times New Roman" w:hAnsi="Times New Roman"/>
          <w:sz w:val="18"/>
          <w:szCs w:val="18"/>
          <w:color w:val="auto"/>
        </w:rPr>
        <w:t>. The information on our website, however, is not, and should not be deemed to be, a part of this prospectus.</w:t>
      </w:r>
    </w:p>
    <w:p>
      <w:pPr>
        <w:spacing w:after="0" w:line="160"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This prospectus and any prospectus supplement are part of a registration statement that we filed with the SEC and do not contain all of the information in the registration statement. The full registration statement may be obtained from the SEC or us, as provided below. Other documents establishing the terms of the offered securities are or may be filed as exhibits to the registration statement or documents incorporated by reference in the registration statement. Statements in this prospectus or any prospectus supplement about these documents are summaries and each statement is qualified in all respects by reference to the document to which it refers. You should refer to the actual documents for a more complete description of the relevant matters. You may inspect a copy of the registration statement through the SEC’s website, as provided above.</w:t>
      </w:r>
    </w:p>
    <w:p>
      <w:pPr>
        <w:spacing w:after="0" w:line="39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INCORPORATION OF CERTAIN DOCUMENTS BY REFERENCE</w:t>
      </w:r>
    </w:p>
    <w:p>
      <w:pPr>
        <w:spacing w:after="0" w:line="229" w:lineRule="exact"/>
        <w:rPr>
          <w:sz w:val="20"/>
          <w:szCs w:val="20"/>
          <w:color w:val="auto"/>
        </w:rPr>
      </w:pPr>
    </w:p>
    <w:p>
      <w:pPr>
        <w:ind w:left="120" w:right="120" w:firstLine="440"/>
        <w:spacing w:after="0" w:line="254" w:lineRule="auto"/>
        <w:rPr>
          <w:sz w:val="20"/>
          <w:szCs w:val="20"/>
          <w:color w:val="auto"/>
        </w:rPr>
      </w:pPr>
      <w:r>
        <w:rPr>
          <w:rFonts w:ascii="Times New Roman" w:cs="Times New Roman" w:eastAsia="Times New Roman" w:hAnsi="Times New Roman"/>
          <w:sz w:val="18"/>
          <w:szCs w:val="18"/>
          <w:color w:val="auto"/>
        </w:rPr>
        <w:t>The SEC allows us to incorporate by reference much of the information we file with the SEC, which means that we can disclose important information to you by referring you to those publicly available documents. The information that we incorporate by reference in this prospectus is considered to be part of this prospectus. Because we are incorporating by reference future filings with the SEC, this prospectus is continually updated and those future filings may modify or supersede some of the information included or incorporated in this prospectus. This means that you must look at all of the SEC filings that we incorporate by reference to determine if any of the statements in this prospectus or in any document previously incorporated by reference have been modified or superseded. This prospectus incorporates by reference the documents listed below and any future filings we make with the SEC under Sections 13(a), 13(c), 14 or 15(d) of the Securities Exchange Act of 1934, as amended, or the Exchange Act (in each case, other than those documents or the portions of those documents not deemed to be filed) until the offering of the securities under the registration statement is terminated or completed:</w:t>
      </w:r>
    </w:p>
    <w:p>
      <w:pPr>
        <w:spacing w:after="0" w:line="94" w:lineRule="exact"/>
        <w:rPr>
          <w:sz w:val="20"/>
          <w:szCs w:val="20"/>
          <w:color w:val="auto"/>
        </w:rPr>
      </w:pPr>
    </w:p>
    <w:p>
      <w:pPr>
        <w:ind w:left="1080" w:hanging="424"/>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Annual Report on </w:t>
      </w:r>
      <w:hyperlink r:id="rId29">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fiscal year ended December 31, 2023, filed with the SEC on March 26, 2024;</w:t>
      </w:r>
    </w:p>
    <w:p>
      <w:pPr>
        <w:spacing w:after="0" w:line="130"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Quarterly Reports on Form 10-Q for the fiscal quarters ended March 31, 2024, June 30, 2024 and September 30, 2024, as filed with the SEC on </w:t>
      </w:r>
      <w:hyperlink r:id="rId30">
        <w:r>
          <w:rPr>
            <w:rFonts w:ascii="Times New Roman" w:cs="Times New Roman" w:eastAsia="Times New Roman" w:hAnsi="Times New Roman"/>
            <w:sz w:val="18"/>
            <w:szCs w:val="18"/>
            <w:u w:val="single" w:color="auto"/>
            <w:color w:val="0000EE"/>
          </w:rPr>
          <w:t>May 14, 2024</w:t>
        </w:r>
      </w:hyperlink>
      <w:r>
        <w:rPr>
          <w:rFonts w:ascii="Times New Roman" w:cs="Times New Roman" w:eastAsia="Times New Roman" w:hAnsi="Times New Roman"/>
          <w:sz w:val="18"/>
          <w:szCs w:val="18"/>
          <w:color w:val="auto"/>
        </w:rPr>
        <w:t xml:space="preserve">, </w:t>
      </w:r>
      <w:hyperlink r:id="rId31">
        <w:r>
          <w:rPr>
            <w:rFonts w:ascii="Times New Roman" w:cs="Times New Roman" w:eastAsia="Times New Roman" w:hAnsi="Times New Roman"/>
            <w:sz w:val="18"/>
            <w:szCs w:val="18"/>
            <w:u w:val="single" w:color="auto"/>
            <w:color w:val="0000EE"/>
          </w:rPr>
          <w:t>August 13, 2024</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and </w:t>
      </w:r>
      <w:hyperlink r:id="rId32">
        <w:r>
          <w:rPr>
            <w:rFonts w:ascii="Times New Roman" w:cs="Times New Roman" w:eastAsia="Times New Roman" w:hAnsi="Times New Roman"/>
            <w:sz w:val="18"/>
            <w:szCs w:val="18"/>
            <w:u w:val="single" w:color="auto"/>
            <w:color w:val="0000EE"/>
          </w:rPr>
          <w:t>November 12, 2024</w:t>
        </w:r>
      </w:hyperlink>
      <w:r>
        <w:rPr>
          <w:rFonts w:ascii="Times New Roman" w:cs="Times New Roman" w:eastAsia="Times New Roman" w:hAnsi="Times New Roman"/>
          <w:sz w:val="18"/>
          <w:szCs w:val="18"/>
          <w:color w:val="auto"/>
        </w:rPr>
        <w:t>, respectively;</w:t>
      </w:r>
    </w:p>
    <w:p>
      <w:pPr>
        <w:spacing w:after="0" w:line="94" w:lineRule="exact"/>
        <w:rPr>
          <w:rFonts w:ascii="Times New Roman" w:cs="Times New Roman" w:eastAsia="Times New Roman" w:hAnsi="Times New Roman"/>
          <w:sz w:val="18"/>
          <w:szCs w:val="18"/>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140"/>
          </w:cols>
          <w:pgMar w:left="320" w:top="455" w:right="4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hanging="424"/>
        <w:spacing w:after="0"/>
        <w:tabs>
          <w:tab w:leader="none" w:pos="1080" w:val="left"/>
        </w:tabs>
        <w:numPr>
          <w:ilvl w:val="0"/>
          <w:numId w:val="7"/>
        </w:numPr>
        <w:rPr>
          <w:rFonts w:ascii="Times New Roman" w:cs="Times New Roman" w:eastAsia="Times New Roman" w:hAnsi="Times New Roman"/>
          <w:sz w:val="18"/>
          <w:szCs w:val="18"/>
          <w:color w:val="auto"/>
        </w:rPr>
      </w:pPr>
      <w:hyperlink r:id="rId34">
        <w:r>
          <w:rPr>
            <w:rFonts w:ascii="Times New Roman" w:cs="Times New Roman" w:eastAsia="Times New Roman" w:hAnsi="Times New Roman"/>
            <w:sz w:val="18"/>
            <w:szCs w:val="18"/>
            <w:color w:val="auto"/>
          </w:rPr>
          <w:t xml:space="preserve">our Current Reports on Form 8-K, as filed with the SEC on </w:t>
        </w:r>
        <w:r>
          <w:rPr>
            <w:rFonts w:ascii="Times New Roman" w:cs="Times New Roman" w:eastAsia="Times New Roman" w:hAnsi="Times New Roman"/>
            <w:sz w:val="18"/>
            <w:szCs w:val="18"/>
            <w:u w:val="single" w:color="auto"/>
            <w:color w:val="0000EE"/>
          </w:rPr>
          <w:t>January 9, 2024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April 18, 2024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April 22, 2024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May 14, 2024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June 12,</w:t>
        </w:r>
      </w:hyperlink>
    </w:p>
    <w:p>
      <w:pPr>
        <w:spacing w:after="0" w:line="27" w:lineRule="exact"/>
        <w:rPr>
          <w:sz w:val="20"/>
          <w:szCs w:val="20"/>
          <w:color w:val="auto"/>
        </w:rPr>
      </w:pPr>
    </w:p>
    <w:p>
      <w:pPr>
        <w:ind w:left="1080"/>
        <w:spacing w:after="0"/>
        <w:rPr>
          <w:rFonts w:ascii="Times New Roman" w:cs="Times New Roman" w:eastAsia="Times New Roman" w:hAnsi="Times New Roman"/>
          <w:sz w:val="18"/>
          <w:szCs w:val="18"/>
          <w:color w:val="0000EE"/>
        </w:rPr>
      </w:pPr>
      <w:hyperlink r:id="rId34">
        <w:r>
          <w:rPr>
            <w:rFonts w:ascii="Times New Roman" w:cs="Times New Roman" w:eastAsia="Times New Roman" w:hAnsi="Times New Roman"/>
            <w:sz w:val="18"/>
            <w:szCs w:val="18"/>
            <w:u w:val="single" w:color="auto"/>
            <w:color w:val="0000EE"/>
          </w:rPr>
          <w:t>2024</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35">
        <w:r>
          <w:rPr>
            <w:rFonts w:ascii="Times New Roman" w:cs="Times New Roman" w:eastAsia="Times New Roman" w:hAnsi="Times New Roman"/>
            <w:sz w:val="18"/>
            <w:szCs w:val="18"/>
            <w:u w:val="single" w:color="auto"/>
            <w:color w:val="0000EE"/>
          </w:rPr>
          <w:t>June 21, 2024</w:t>
        </w:r>
      </w:hyperlink>
      <w:hyperlink r:id="rId34">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36">
        <w:r>
          <w:rPr>
            <w:rFonts w:ascii="Times New Roman" w:cs="Times New Roman" w:eastAsia="Times New Roman" w:hAnsi="Times New Roman"/>
            <w:sz w:val="18"/>
            <w:szCs w:val="18"/>
            <w:u w:val="single" w:color="auto"/>
            <w:color w:val="0000EE"/>
          </w:rPr>
          <w:t>August 28, 2024</w:t>
        </w:r>
      </w:hyperlink>
      <w:hyperlink r:id="rId34">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37">
        <w:r>
          <w:rPr>
            <w:rFonts w:ascii="Times New Roman" w:cs="Times New Roman" w:eastAsia="Times New Roman" w:hAnsi="Times New Roman"/>
            <w:sz w:val="18"/>
            <w:szCs w:val="18"/>
            <w:u w:val="single" w:color="auto"/>
            <w:color w:val="0000EE"/>
          </w:rPr>
          <w:t>September 16, 2024</w:t>
        </w:r>
      </w:hyperlink>
      <w:hyperlink r:id="rId34">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38">
        <w:r>
          <w:rPr>
            <w:rFonts w:ascii="Times New Roman" w:cs="Times New Roman" w:eastAsia="Times New Roman" w:hAnsi="Times New Roman"/>
            <w:sz w:val="18"/>
            <w:szCs w:val="18"/>
            <w:u w:val="single" w:color="auto"/>
            <w:color w:val="0000EE"/>
          </w:rPr>
          <w:t xml:space="preserve">November 4, 2024 </w:t>
        </w:r>
      </w:hyperlink>
      <w:hyperlink r:id="rId39">
        <w:r>
          <w:rPr>
            <w:rFonts w:ascii="Times New Roman" w:cs="Times New Roman" w:eastAsia="Times New Roman" w:hAnsi="Times New Roman"/>
            <w:sz w:val="18"/>
            <w:szCs w:val="18"/>
            <w:u w:val="single" w:color="auto"/>
            <w:color w:val="0000EE"/>
          </w:rPr>
          <w:t>and November 21, 2024</w:t>
        </w:r>
      </w:hyperlink>
      <w:hyperlink r:id="rId34">
        <w:r>
          <w:rPr>
            <w:rFonts w:ascii="Times New Roman" w:cs="Times New Roman" w:eastAsia="Times New Roman" w:hAnsi="Times New Roman"/>
            <w:sz w:val="18"/>
            <w:szCs w:val="18"/>
            <w:color w:val="000000"/>
          </w:rPr>
          <w:t>; and</w:t>
        </w:r>
      </w:hyperlink>
    </w:p>
    <w:p>
      <w:pPr>
        <w:spacing w:after="0" w:line="112" w:lineRule="exact"/>
        <w:rPr>
          <w:rFonts w:ascii="Times New Roman" w:cs="Times New Roman" w:eastAsia="Times New Roman" w:hAnsi="Times New Roman"/>
          <w:sz w:val="18"/>
          <w:szCs w:val="18"/>
          <w:color w:val="0000EE"/>
        </w:rPr>
      </w:pPr>
    </w:p>
    <w:p>
      <w:pPr>
        <w:ind w:left="1080" w:right="100" w:hanging="424"/>
        <w:spacing w:after="0" w:line="266" w:lineRule="auto"/>
        <w:tabs>
          <w:tab w:leader="none" w:pos="1080" w:val="left"/>
        </w:tabs>
        <w:numPr>
          <w:ilvl w:val="0"/>
          <w:numId w:val="8"/>
        </w:numPr>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the description of our common stock contained in our Registration Statement on Form 8-A (File No. 001-39062), filed with the SEC on </w:t>
      </w:r>
      <w:hyperlink r:id="rId40">
        <w:r>
          <w:rPr>
            <w:rFonts w:ascii="Times New Roman" w:cs="Times New Roman" w:eastAsia="Times New Roman" w:hAnsi="Times New Roman"/>
            <w:sz w:val="18"/>
            <w:szCs w:val="18"/>
            <w:u w:val="single" w:color="auto"/>
            <w:color w:val="0000EE"/>
          </w:rPr>
          <w:t>September 23, 2019</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including any amendments or reports filed for the purpose of updating such description, including</w:t>
      </w:r>
      <w:r>
        <w:rPr>
          <w:rFonts w:ascii="Times New Roman" w:cs="Times New Roman" w:eastAsia="Times New Roman" w:hAnsi="Times New Roman"/>
          <w:sz w:val="18"/>
          <w:szCs w:val="18"/>
          <w:color w:val="0000EE"/>
        </w:rPr>
        <w:t xml:space="preserve"> </w:t>
      </w:r>
      <w:hyperlink r:id="rId41">
        <w:r>
          <w:rPr>
            <w:rFonts w:ascii="Times New Roman" w:cs="Times New Roman" w:eastAsia="Times New Roman" w:hAnsi="Times New Roman"/>
            <w:sz w:val="18"/>
            <w:szCs w:val="18"/>
            <w:u w:val="single" w:color="auto"/>
            <w:color w:val="0000EE"/>
          </w:rPr>
          <w:t xml:space="preserve">Exhibit 4.1 </w:t>
        </w:r>
      </w:hyperlink>
      <w:r>
        <w:rPr>
          <w:rFonts w:ascii="Times New Roman" w:cs="Times New Roman" w:eastAsia="Times New Roman" w:hAnsi="Times New Roman"/>
          <w:sz w:val="18"/>
          <w:szCs w:val="18"/>
          <w:color w:val="000000"/>
        </w:rPr>
        <w:t>to</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our</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Annual Report on Form 10-K for the fiscal year ended December 31, 2023.</w:t>
      </w:r>
    </w:p>
    <w:p>
      <w:pPr>
        <w:spacing w:after="0" w:line="176" w:lineRule="exact"/>
        <w:rPr>
          <w:rFonts w:ascii="Times New Roman" w:cs="Times New Roman" w:eastAsia="Times New Roman" w:hAnsi="Times New Roman"/>
          <w:sz w:val="18"/>
          <w:szCs w:val="18"/>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Any statement contained herein or in a document incorporated or deemed to be incorporated by reference into this document will be deemed to be modified or superseded for purposes of the document to the extent that a statement contained in this document or any other subsequently filed document that is deemed to be incorporated by reference into this document modifies or supersedes the statement.</w:t>
      </w:r>
    </w:p>
    <w:p>
      <w:pPr>
        <w:spacing w:after="0" w:line="176" w:lineRule="exact"/>
        <w:rPr>
          <w:rFonts w:ascii="Times New Roman" w:cs="Times New Roman" w:eastAsia="Times New Roman" w:hAnsi="Times New Roman"/>
          <w:sz w:val="18"/>
          <w:szCs w:val="18"/>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We will furnish without charge to each person, including any beneficial owner, to whom a prospectus is delivered, upon written or oral request, a copy of any or all of the documents incorporated by reference, including exhibits to these documents. Any such request may be made by writing or calling us at the following address or phone number:</w:t>
      </w:r>
    </w:p>
    <w:p>
      <w:pPr>
        <w:spacing w:after="0" w:line="176" w:lineRule="exact"/>
        <w:rPr>
          <w:rFonts w:ascii="Times New Roman" w:cs="Times New Roman" w:eastAsia="Times New Roman" w:hAnsi="Times New Roman"/>
          <w:sz w:val="18"/>
          <w:szCs w:val="18"/>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Korro Bio, Inc.</w:t>
      </w:r>
    </w:p>
    <w:p>
      <w:pPr>
        <w:spacing w:after="0" w:line="27" w:lineRule="exact"/>
        <w:rPr>
          <w:rFonts w:ascii="Times New Roman" w:cs="Times New Roman" w:eastAsia="Times New Roman" w:hAnsi="Times New Roman"/>
          <w:sz w:val="18"/>
          <w:szCs w:val="18"/>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60 First Street, 2nd floor, Suite 250</w:t>
      </w:r>
    </w:p>
    <w:p>
      <w:pPr>
        <w:spacing w:after="0" w:line="9" w:lineRule="exact"/>
        <w:rPr>
          <w:rFonts w:ascii="Times New Roman" w:cs="Times New Roman" w:eastAsia="Times New Roman" w:hAnsi="Times New Roman"/>
          <w:sz w:val="18"/>
          <w:szCs w:val="18"/>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Cambridge, Massachusetts 02141</w:t>
      </w:r>
    </w:p>
    <w:p>
      <w:pPr>
        <w:spacing w:after="0" w:line="9" w:lineRule="exact"/>
        <w:rPr>
          <w:rFonts w:ascii="Times New Roman" w:cs="Times New Roman" w:eastAsia="Times New Roman" w:hAnsi="Times New Roman"/>
          <w:sz w:val="18"/>
          <w:szCs w:val="18"/>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Attn: Investor Relations</w:t>
      </w:r>
    </w:p>
    <w:p>
      <w:pPr>
        <w:spacing w:after="0" w:line="9" w:lineRule="exact"/>
        <w:rPr>
          <w:rFonts w:ascii="Times New Roman" w:cs="Times New Roman" w:eastAsia="Times New Roman" w:hAnsi="Times New Roman"/>
          <w:sz w:val="18"/>
          <w:szCs w:val="18"/>
          <w:color w:val="auto"/>
        </w:rPr>
      </w:pPr>
    </w:p>
    <w:p>
      <w:pPr>
        <w:ind w:left="5500" w:hanging="438"/>
        <w:spacing w:after="0"/>
        <w:tabs>
          <w:tab w:leader="none" w:pos="55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468-1999</w:t>
      </w:r>
    </w:p>
    <w:p>
      <w:pPr>
        <w:spacing w:after="0" w:line="139" w:lineRule="exact"/>
        <w:rPr>
          <w:rFonts w:ascii="Times New Roman" w:cs="Times New Roman" w:eastAsia="Times New Roman" w:hAnsi="Times New Roman"/>
          <w:sz w:val="18"/>
          <w:szCs w:val="18"/>
          <w:color w:val="auto"/>
        </w:rPr>
      </w:pPr>
    </w:p>
    <w:p>
      <w:pPr>
        <w:ind w:left="5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w:t>
      </w:r>
    </w:p>
    <w:p>
      <w:pPr>
        <w:sectPr>
          <w:pgSz w:w="11900" w:h="16838" w:orient="portrait"/>
          <w:cols w:equalWidth="0" w:num="1">
            <w:col w:w="11080"/>
          </w:cols>
          <w:pgMar w:left="320" w:top="455" w:right="49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250190</wp:posOffset>
            </wp:positionV>
            <wp:extent cx="699516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3">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301625</wp:posOffset>
            </wp:positionV>
            <wp:extent cx="699516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4">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2945130</wp:posOffset>
            </wp:positionH>
            <wp:positionV relativeFrom="paragraph">
              <wp:posOffset>970280</wp:posOffset>
            </wp:positionV>
            <wp:extent cx="1251585" cy="23177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5">
                      <a:extLst>
                        <a:ext uri="{28A0092B-C50C-407E-A947-70E740481C1C}"/>
                      </a:extLst>
                    </a:blip>
                    <a:srcRect/>
                    <a:stretch>
                      <a:fillRect/>
                    </a:stretch>
                  </pic:blipFill>
                  <pic:spPr bwMode="auto">
                    <a:xfrm>
                      <a:off x="0" y="0"/>
                      <a:ext cx="1251585" cy="231775"/>
                    </a:xfrm>
                    <a:prstGeom prst="rect">
                      <a:avLst/>
                    </a:prstGeom>
                    <a:noFill/>
                  </pic:spPr>
                </pic:pic>
              </a:graphicData>
            </a:graphic>
          </wp:anchor>
        </w:drawing>
      </w:r>
    </w:p>
    <w:p>
      <w:pPr>
        <w:sectPr>
          <w:pgSz w:w="11900" w:h="16838" w:orient="portrait"/>
          <w:cols w:equalWidth="0" w:num="1">
            <w:col w:w="10139"/>
          </w:cols>
          <w:pgMar w:left="320" w:top="45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28"/>
          <w:szCs w:val="28"/>
          <w:b w:val="1"/>
          <w:bCs w:val="1"/>
          <w:color w:val="auto"/>
        </w:rPr>
        <w:t>Up to 1,213,569 Shares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3274695</wp:posOffset>
            </wp:positionV>
            <wp:extent cx="147447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6">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22"/>
          <w:szCs w:val="22"/>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245110</wp:posOffset>
            </wp:positionV>
            <wp:extent cx="147447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7">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8"/>
          <w:szCs w:val="18"/>
          <w:b w:val="1"/>
          <w:bCs w:val="1"/>
          <w:color w:val="auto"/>
        </w:rPr>
        <w:t>December 9,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440055</wp:posOffset>
            </wp:positionV>
            <wp:extent cx="699516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8">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499745</wp:posOffset>
            </wp:positionV>
            <wp:extent cx="699516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sectPr>
      <w:pgSz w:w="11900" w:h="16838" w:orient="portrait"/>
      <w:cols w:equalWidth="0" w:num="1">
        <w:col w:w="10139"/>
      </w:cols>
      <w:pgMar w:left="320" w:top="455"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1)"/>
      <w:numFmt w:val="decimal"/>
      <w:start w:val="1"/>
    </w:lvl>
  </w:abstractNum>
  <w:abstractNum w:abstractNumId="3">
    <w:nsid w:val="2EB141F2"/>
    <w:multiLevelType w:val="hybridMultilevel"/>
    <w:lvl w:ilvl="0">
      <w:lvlJc w:val="left"/>
      <w:lvlText w:val="(%1)"/>
      <w:numFmt w:val="decimal"/>
      <w:start w:val="3"/>
    </w:lvl>
  </w:abstractNum>
  <w:abstractNum w:abstractNumId="4">
    <w:nsid w:val="41B71EFB"/>
    <w:multiLevelType w:val="hybridMultilevel"/>
    <w:lvl w:ilvl="0">
      <w:lvlJc w:val="left"/>
      <w:lvlText w:val="•"/>
      <w:numFmt w:val="bullet"/>
      <w:start w:val="1"/>
    </w:lvl>
  </w:abstractNum>
  <w:abstractNum w:abstractNumId="5">
    <w:nsid w:val="79E2A9E3"/>
    <w:multiLevelType w:val="hybridMultilevel"/>
    <w:lvl w:ilvl="0">
      <w:lvlJc w:val="left"/>
      <w:lvlText w:val="•"/>
      <w:numFmt w:val="bullet"/>
      <w:start w:val="1"/>
    </w:lvl>
  </w:abstractNum>
  <w:abstractNum w:abstractNumId="6">
    <w:nsid w:val="7545E146"/>
    <w:multiLevelType w:val="hybridMultilevel"/>
    <w:lvl w:ilvl="0">
      <w:lvlJc w:val="left"/>
      <w:lvlText w:val="•"/>
      <w:numFmt w:val="bullet"/>
      <w:start w:val="1"/>
    </w:lvl>
  </w:abstractNum>
  <w:abstractNum w:abstractNumId="7">
    <w:nsid w:val="515F007C"/>
    <w:multiLevelType w:val="hybridMultilevel"/>
    <w:lvl w:ilvl="0">
      <w:lvlJc w:val="left"/>
      <w:lvlText w:val="•"/>
      <w:numFmt w:val="bullet"/>
      <w:start w:val="1"/>
    </w:lvl>
  </w:abstractNum>
  <w:abstractNum w:abstractNumId="8">
    <w:nsid w:val="5BD062C2"/>
    <w:multiLevelType w:val="hybridMultilevel"/>
    <w:lvl w:ilvl="0">
      <w:lvlJc w:val="left"/>
      <w:lvlText w:val="(%1)"/>
      <w:numFmt w:val="decimal"/>
      <w:start w:val="617"/>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33" Type="http://schemas.openxmlformats.org/officeDocument/2006/relationships/image" Target="media/image22.png"/><Relationship Id="rId42" Type="http://schemas.openxmlformats.org/officeDocument/2006/relationships/image" Target="media/image23.png"/><Relationship Id="rId43" Type="http://schemas.openxmlformats.org/officeDocument/2006/relationships/image" Target="media/image24.png"/><Relationship Id="rId44" Type="http://schemas.openxmlformats.org/officeDocument/2006/relationships/image" Target="media/image25.png"/><Relationship Id="rId45" Type="http://schemas.openxmlformats.org/officeDocument/2006/relationships/image" Target="media/image26.jpeg"/><Relationship Id="rId46" Type="http://schemas.openxmlformats.org/officeDocument/2006/relationships/image" Target="media/image27.png"/><Relationship Id="rId47" Type="http://schemas.openxmlformats.org/officeDocument/2006/relationships/image" Target="media/image28.png"/><Relationship Id="rId48" Type="http://schemas.openxmlformats.org/officeDocument/2006/relationships/image" Target="media/image29.png"/><Relationship Id="rId49" Type="http://schemas.openxmlformats.org/officeDocument/2006/relationships/image" Target="media/image30.png"/><Relationship Id="rId29" Type="http://schemas.openxmlformats.org/officeDocument/2006/relationships/hyperlink" Target="http://www.sec.gov/ix?doc=/Archives/edgar/data/1703647/000095017024036396/krro-20231231.htm" TargetMode="External"/><Relationship Id="rId30" Type="http://schemas.openxmlformats.org/officeDocument/2006/relationships/hyperlink" Target="http://www.sec.gov/ix?doc=/Archives/edgar/data/1703647/000095017024059493/krro-20240331.htm" TargetMode="External"/><Relationship Id="rId31" Type="http://schemas.openxmlformats.org/officeDocument/2006/relationships/hyperlink" Target="http://www.sec.gov/ix?doc=/Archives/edgar/data/1703647/000095017024096189/krro-20240630.htm" TargetMode="External"/><Relationship Id="rId32" Type="http://schemas.openxmlformats.org/officeDocument/2006/relationships/hyperlink" Target="http://www.sec.gov/ix?doc=/Archives/edgar/data/1703647/000095017024125362/krro-20240930.htm" TargetMode="External"/><Relationship Id="rId34" Type="http://schemas.openxmlformats.org/officeDocument/2006/relationships/hyperlink" Target="http://www.sec.gov/ix?doc=/Archives/edgar/data/1703647/000119312524159933/d844802d8k.htm" TargetMode="External"/><Relationship Id="rId35" Type="http://schemas.openxmlformats.org/officeDocument/2006/relationships/hyperlink" Target="http://www.sec.gov/ix?doc=/Archives/edgar/data/1703647/000119312524165684/d847854d8k.htm" TargetMode="External"/><Relationship Id="rId36" Type="http://schemas.openxmlformats.org/officeDocument/2006/relationships/hyperlink" Target="http://www.sec.gov/ix?doc=/Archives/edgar/data/1703647/000095017024101395/krro-20240826.htm" TargetMode="External"/><Relationship Id="rId37" Type="http://schemas.openxmlformats.org/officeDocument/2006/relationships/hyperlink" Target="http://www.sec.gov/ix?doc=/Archives/edgar/data/1703647/000095017024106611/krro-20240913.htm" TargetMode="External"/><Relationship Id="rId38" Type="http://schemas.openxmlformats.org/officeDocument/2006/relationships/hyperlink" Target="http://www.sec.gov/ix?doc=/Archives/edgar/data/1703647/000095017024120282/krro-20241104.htm" TargetMode="External"/><Relationship Id="rId39" Type="http://schemas.openxmlformats.org/officeDocument/2006/relationships/hyperlink" Target="http://www.sec.gov/ix?doc=/Archives/edgar/data/1703647/000095017024129488/krro-20241121.htm" TargetMode="External"/><Relationship Id="rId40" Type="http://schemas.openxmlformats.org/officeDocument/2006/relationships/hyperlink" Target="http://www.sec.gov/Archives/edgar/data/1703647/000119312519251258/d799941d8a12b.htm" TargetMode="External"/><Relationship Id="rId41" Type="http://schemas.openxmlformats.org/officeDocument/2006/relationships/hyperlink" Target="http://www.sec.gov/Archives/edgar/data/1703647/000095017024036396/krro-ex4_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2024-12-10T06:45:07Z</dcterms:created>
  <dcterms:modified xsi:type="dcterms:W3CDTF">2024-12-10T06:45:07Z</dcterms:modified>
</cp:coreProperties>
</file>