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Korro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Ommer Chohan, CFO</w:t>
              <w:br/>
              <w:t>Atlas Venture, 300 Technology Square, 8th Floor</w:t>
              <w:br/>
              <w:t>Cambridge, MA, 02139</w:t>
              <w:br/>
              <w:t>(857) 201-2700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Atlas Venture Fund XI, L.P. </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706,556.00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706,556.00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706,556.00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Atlas Venture Associates XI, L.P. </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706,556.00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706,556.00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706,556.00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Atlas Venture Associates XI, LLC </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706,556.00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706,556.00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706,556.00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Atlas Venture Opportunity Fund II, L.P. </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146,305.00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146,305.00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146,305.00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Atlas Venture Associates Opportunity II, L.P. </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146,305.00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146,305.00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146,305.00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Atlas Venture Associates Opportunity II, LLC </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146,305.00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146,305.00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146,305.00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73"/>
        <w:gridCol w:w="8877"/>
        <w:gridCol w:w="155"/>
      </w:tblGrid>
      <w:tr>
        <w:trPr/>
        <w:tc>
          <w:tcPr>
            <w:tcW w:w="1173" w:type="dxa"/>
            <w:tcBorders/>
            <w:vAlign w:val="center"/>
          </w:tcPr>
          <w:p>
            <w:pPr>
              <w:pStyle w:val="TableContents"/>
              <w:bidi w:val="0"/>
              <w:spacing w:before="0" w:after="283"/>
              <w:jc w:val="left"/>
              <w:rPr/>
            </w:pPr>
            <w:r>
              <w:rPr/>
              <w:t>Item 1.</w:t>
            </w:r>
          </w:p>
        </w:tc>
        <w:tc>
          <w:tcPr>
            <w:tcW w:w="887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(a)</w:t>
            </w:r>
          </w:p>
        </w:tc>
        <w:tc>
          <w:tcPr>
            <w:tcW w:w="887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(b)</w:t>
            </w:r>
          </w:p>
        </w:tc>
        <w:tc>
          <w:tcPr>
            <w:tcW w:w="8877" w:type="dxa"/>
            <w:tcBorders/>
            <w:vAlign w:val="center"/>
          </w:tcPr>
          <w:p>
            <w:pPr>
              <w:pStyle w:val="TableContents"/>
              <w:bidi w:val="0"/>
              <w:jc w:val="left"/>
              <w:rPr/>
            </w:pPr>
            <w:r>
              <w:rPr/>
              <w:t xml:space="preserve">Name of Issuer: </w:t>
            </w:r>
          </w:p>
          <w:p>
            <w:pPr>
              <w:pStyle w:val="TableContents"/>
              <w:bidi w:val="0"/>
              <w:spacing w:before="0" w:after="0"/>
              <w:jc w:val="left"/>
              <w:rPr/>
            </w:pPr>
            <w:r>
              <w:rPr/>
              <w:t>Korro Bio, Inc.</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(c)</w:t>
            </w:r>
          </w:p>
        </w:tc>
        <w:tc>
          <w:tcPr>
            <w:tcW w:w="887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First Street, 2nd Floor, Suite 250, Cambridge, MASSACHUSETTS , 02141.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Schedule 13D ("Amendment No. 1") is being filed as an amendment to the statement on Schedule 13D relating to common stock, par value $0.001 per share of Korro Bio, Inc., a Delaware corporation, as filed with the Securities and Exchange Commission (the "SEC") on November 13, 2023 (the "Original Schedule 13D"). All capitalized terms not otherwise defined herein shall have the meanings ascribed to the terms in the Original Schedule 13D. The Original Schedule 13D is hereby amended and supplemented as follows and, except as expressly amended below, the Original Schedule 13D remains in full force and effect.</w:t>
            </w:r>
          </w:p>
        </w:tc>
      </w:tr>
      <w:tr>
        <w:trPr/>
        <w:tc>
          <w:tcPr>
            <w:tcW w:w="1173" w:type="dxa"/>
            <w:tcBorders/>
            <w:vAlign w:val="center"/>
          </w:tcPr>
          <w:p>
            <w:pPr>
              <w:pStyle w:val="TableContents"/>
              <w:bidi w:val="0"/>
              <w:spacing w:before="0" w:after="283"/>
              <w:jc w:val="left"/>
              <w:rPr/>
            </w:pPr>
            <w:r>
              <w:rPr/>
              <w:t>Item 5.</w:t>
            </w:r>
          </w:p>
        </w:tc>
        <w:tc>
          <w:tcPr>
            <w:tcW w:w="887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(a)</w:t>
            </w:r>
          </w:p>
        </w:tc>
        <w:tc>
          <w:tcPr>
            <w:tcW w:w="8877" w:type="dxa"/>
            <w:tcBorders/>
            <w:vAlign w:val="center"/>
          </w:tcPr>
          <w:p>
            <w:pPr>
              <w:pStyle w:val="TableContents"/>
              <w:bidi w:val="0"/>
              <w:spacing w:before="0" w:after="0"/>
              <w:jc w:val="left"/>
              <w:rPr/>
            </w:pPr>
            <w:r>
              <w:rPr/>
              <w:t>As of the date hereof, Atlas XI is the record owner of 706,556 shares of Common Stock. AVA XI LP is the general partner of Atlas XI and AVA XI LLC is the general partner of AVA XI LP. Each of Atlas XI, AVA XI LP and AVA XI LLC has shared voting and dispositive power over the shares held by Atlas XI. As such, each of Atlas XI, AVA XI LP and AVA XI LLC may be deemed to beneficially own the shares held by Atlas XI. As of the date hereof, AVOF II is the record owner of 146,305 shares of Common Stock. AVAO II LP is the general partner of AVOF II and AVAO II LLC is the general partner of AVAO II LP. Each of AVOF II, AVAO II LP and AVAO II LLC has shared voting and dispositive power over the shares held by AVOF II. As such, each of AVOF II, AVAO II LP and AVAO II LLC may be deemed to beneficially own the shares held by AVOF II. Each of the Fund XI Reporting Persons and the Opportunity Fund II Reporting Persons may be deemed to beneficially own 4.9% and 1.0%, respectively, of the Issuer's outstanding Common Stock, which percentages are calculated based upon 14,422,571 shares of Common Stock outstanding as of May 4, 2026, as reported in the Issuer's Form 10-Q filed with the Securities and Exchange Commission on May 7, 2026. Collectively, the Reporting Persons beneficially own an aggregate of 852,861 shares of Common Stock, which represents an estimated 5.9% of the Issuer's outstanding Common Stock. The Fund XI Reporting Persons and the Opportunity Fund II Reporting Persons are under common control and as a result, the Reporting Persons may be deemed to be members of a group. However, the Reporting Persons disclaim such group membership, and this Schedule 13D shall not be deemed an admission that the Reporting Persons are members of a group for purposes of Section 13 or for any other purposes.</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(b)</w:t>
            </w:r>
          </w:p>
        </w:tc>
        <w:tc>
          <w:tcPr>
            <w:tcW w:w="8877" w:type="dxa"/>
            <w:tcBorders/>
            <w:vAlign w:val="center"/>
          </w:tcPr>
          <w:p>
            <w:pPr>
              <w:pStyle w:val="TableContents"/>
              <w:bidi w:val="0"/>
              <w:spacing w:before="0" w:after="0"/>
              <w:jc w:val="left"/>
              <w:rPr/>
            </w:pPr>
            <w:r>
              <w:rPr/>
              <w:t xml:space="preserve">Each of Atlas XI, AVA XI LP and AVA XI LLC has shared voting and dispositive power over 706,556 shares held by Atlas XI. Each of AVOF II, AVAO II LP and AVAO II LLC has shared voting and dispositive power over 146,305 shares held by AVOF II. </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(c)</w:t>
            </w:r>
          </w:p>
        </w:tc>
        <w:tc>
          <w:tcPr>
            <w:tcW w:w="8877" w:type="dxa"/>
            <w:tcBorders/>
            <w:vAlign w:val="center"/>
          </w:tcPr>
          <w:p>
            <w:pPr>
              <w:pStyle w:val="TableContents"/>
              <w:bidi w:val="0"/>
              <w:spacing w:before="0" w:after="0"/>
              <w:jc w:val="left"/>
              <w:rPr/>
            </w:pPr>
            <w:r>
              <w:rPr/>
              <w:t xml:space="preserve">The transactions in the common stock by the Reporting Persons subsequent to the date that is sixty days prior to the date of the triggering of this filing are set forth in Exhibit 99.2 and are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(d)</w:t>
            </w:r>
          </w:p>
        </w:tc>
        <w:tc>
          <w:tcPr>
            <w:tcW w:w="8877" w:type="dxa"/>
            <w:tcBorders/>
            <w:vAlign w:val="center"/>
          </w:tcPr>
          <w:p>
            <w:pPr>
              <w:pStyle w:val="TableContents"/>
              <w:bidi w:val="0"/>
              <w:spacing w:before="0" w:after="0"/>
              <w:jc w:val="left"/>
              <w:rPr/>
            </w:pPr>
            <w:r>
              <w:rPr/>
              <w:t>No other person is known by the Reporting Persons to have the right to receive or the power to direct the receipt of dividends from, or the proceeds from the sale of, the shares of Common Stock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(e)</w:t>
            </w:r>
          </w:p>
        </w:tc>
        <w:tc>
          <w:tcPr>
            <w:tcW w:w="887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Item 7.</w:t>
            </w:r>
          </w:p>
        </w:tc>
        <w:tc>
          <w:tcPr>
            <w:tcW w:w="887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3" w:type="dxa"/>
            <w:tcBorders/>
            <w:vAlign w:val="center"/>
          </w:tcPr>
          <w:p>
            <w:pPr>
              <w:pStyle w:val="TableContents"/>
              <w:bidi w:val="0"/>
              <w:spacing w:before="0" w:after="283"/>
              <w:jc w:val="left"/>
              <w:rPr/>
            </w:pPr>
            <w:r>
              <w:rPr/>
              <w:t> </w:t>
            </w:r>
          </w:p>
        </w:tc>
        <w:tc>
          <w:tcPr>
            <w:tcW w:w="8877" w:type="dxa"/>
            <w:tcBorders/>
            <w:vAlign w:val="center"/>
          </w:tcPr>
          <w:p>
            <w:pPr>
              <w:pStyle w:val="TableContents"/>
              <w:bidi w:val="0"/>
              <w:spacing w:before="0" w:after="0"/>
              <w:jc w:val="left"/>
              <w:rPr/>
            </w:pPr>
            <w:r>
              <w:rPr/>
              <w:t>99.1 Joint Filing Agreement (incorporated by reference to Exhibit A to the Reporting Persons' Schedule 13D, filed with the SEC on November 13, 2023). 99.2 Transactions in Common Stock During the Past Sixty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 xml:space="preserve">Atlas Venture Fund XI, L.P. </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Ommer Chohan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Atlas Venture Associates XI, L.P., its general partner, By: Atlas Venture Associates XI, LLC, its general partner, By: Ommer Chohan, CFO</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 xml:space="preserve">Atlas Venture Associates XI, L.P. </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Ommer Chohan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Atlas Venture Associates XI, LLC, its general partner, By: Ommer Chohan, CFO</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 xml:space="preserve">Atlas Venture Associates XI, LLC </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 xml:space="preserve">Atlas Venture Opportunity Fund II, L.P. </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Ommer Chohan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Atlas Venture Associates Opportunity II, L.P., its GP, By: Atlas Venture Associates Opportunity II, LLC, its GP, By: Ommer Chohan, CFO</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 xml:space="preserve">Atlas Venture Associates Opportunity II, L.P. </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Ommer Chohan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Atlas Venture Associates Opportunity II, LLC, its GP, By: Ommer Chohan, CFO</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 xml:space="preserve">Atlas Venture Associates Opportunity II, LLC </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Ommer Chohan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Ommer Chohan, CFO</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Arial" w:hAnsi="Arial"/>
          <w:sz w:val="22"/>
        </w:rPr>
      </w:pPr>
      <w:bookmarkStart w:id="34" w:name="ex-99-08042026_090813.htm"/>
      <w:bookmarkStart w:id="35" w:name="ksex9908042026_090813"/>
      <w:bookmarkEnd w:id="34"/>
      <w:bookmarkEnd w:id="35"/>
      <w:r>
        <w:rPr>
          <w:rFonts w:ascii="Arial" w:hAnsi="Arial"/>
          <w:sz w:val="22"/>
        </w:rPr>
        <w:t>Exhibit 99.2</w:t>
      </w:r>
      <w:r>
        <w:br w:type="page"/>
      </w:r>
    </w:p>
    <w:p>
      <w:pPr>
        <w:pStyle w:val="TextBody"/>
        <w:bidi w:val="0"/>
        <w:spacing w:before="0" w:after="0"/>
        <w:ind w:left="0" w:right="0" w:hanging="0"/>
        <w:jc w:val="center"/>
        <w:rPr/>
      </w:pPr>
      <w:r>
        <w:rPr/>
      </w:r>
    </w:p>
    <w:p>
      <w:pPr>
        <w:pStyle w:val="TextBody"/>
        <w:bidi w:val="0"/>
        <w:spacing w:before="0" w:after="0"/>
        <w:ind w:left="0" w:right="0" w:hanging="0"/>
        <w:jc w:val="left"/>
        <w:rPr/>
      </w:pPr>
      <w:r>
        <w:rPr/>
      </w:r>
    </w:p>
    <w:tbl>
      <w:tblPr>
        <w:tblW w:w="9930" w:type="dxa"/>
        <w:jc w:val="center"/>
        <w:tblInd w:w="0" w:type="dxa"/>
        <w:tblLayout w:type="fixed"/>
        <w:tblCellMar>
          <w:top w:w="0" w:type="dxa"/>
          <w:left w:w="0" w:type="dxa"/>
          <w:bottom w:w="0" w:type="dxa"/>
          <w:right w:w="0" w:type="dxa"/>
        </w:tblCellMar>
      </w:tblPr>
      <w:tblGrid>
        <w:gridCol w:w="1095"/>
        <w:gridCol w:w="1425"/>
        <w:gridCol w:w="1590"/>
        <w:gridCol w:w="1770"/>
        <w:gridCol w:w="1080"/>
        <w:gridCol w:w="1530"/>
        <w:gridCol w:w="1440"/>
      </w:tblGrid>
      <w:tr>
        <w:trPr/>
        <w:tc>
          <w:tcPr>
            <w:tcW w:w="109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1095" w:type="dxa"/>
            <w:tcBorders/>
          </w:tcPr>
          <w:p>
            <w:pPr>
              <w:pStyle w:val="TableContents"/>
              <w:bidi w:val="0"/>
              <w:spacing w:before="0" w:after="90"/>
              <w:jc w:val="left"/>
              <w:rPr/>
            </w:pPr>
            <w:r>
              <w:rPr/>
              <w:t>Reporting Person</w:t>
            </w:r>
          </w:p>
        </w:tc>
        <w:tc>
          <w:tcPr>
            <w:tcW w:w="1425" w:type="dxa"/>
            <w:tcBorders/>
          </w:tcPr>
          <w:p>
            <w:pPr>
              <w:pStyle w:val="TableContents"/>
              <w:bidi w:val="0"/>
              <w:spacing w:before="0" w:after="0"/>
              <w:jc w:val="left"/>
              <w:rPr/>
            </w:pPr>
            <w:r>
              <w:rPr/>
              <w:t>Nature of the Transaction</w:t>
            </w:r>
          </w:p>
        </w:tc>
        <w:tc>
          <w:tcPr>
            <w:tcW w:w="1590" w:type="dxa"/>
            <w:tcBorders/>
          </w:tcPr>
          <w:p>
            <w:pPr>
              <w:pStyle w:val="TableContents"/>
              <w:bidi w:val="0"/>
              <w:spacing w:before="0" w:after="0"/>
              <w:jc w:val="left"/>
              <w:rPr/>
            </w:pPr>
            <w:r>
              <w:rPr/>
              <w:t>Amount of Securities Sold</w:t>
            </w:r>
          </w:p>
        </w:tc>
        <w:tc>
          <w:tcPr>
            <w:tcW w:w="1770" w:type="dxa"/>
            <w:tcBorders/>
          </w:tcPr>
          <w:p>
            <w:pPr>
              <w:pStyle w:val="TableContents"/>
              <w:bidi w:val="0"/>
              <w:spacing w:before="0" w:after="0"/>
              <w:jc w:val="left"/>
              <w:rPr/>
            </w:pPr>
            <w:r>
              <w:rPr/>
              <w:t>Weighted Average Price ($)</w:t>
            </w:r>
          </w:p>
        </w:tc>
        <w:tc>
          <w:tcPr>
            <w:tcW w:w="1080" w:type="dxa"/>
            <w:tcBorders/>
          </w:tcPr>
          <w:p>
            <w:pPr>
              <w:pStyle w:val="TableContents"/>
              <w:bidi w:val="0"/>
              <w:spacing w:lineRule="atLeast" w:line="224" w:before="0" w:after="0"/>
              <w:ind w:left="0" w:right="0" w:hanging="0"/>
              <w:jc w:val="left"/>
              <w:rPr/>
            </w:pPr>
            <w:r>
              <w:rPr/>
              <w:t>Date of Sale</w:t>
            </w:r>
          </w:p>
        </w:tc>
        <w:tc>
          <w:tcPr>
            <w:tcW w:w="1530" w:type="dxa"/>
            <w:tcBorders/>
          </w:tcPr>
          <w:p>
            <w:pPr>
              <w:pStyle w:val="TableContents"/>
              <w:bidi w:val="0"/>
              <w:spacing w:lineRule="atLeast" w:line="222" w:before="0" w:after="0"/>
              <w:ind w:left="0" w:right="0" w:hanging="0"/>
              <w:jc w:val="left"/>
              <w:rPr/>
            </w:pPr>
            <w:r>
              <w:rPr/>
              <w:t>Low Price($)</w:t>
            </w:r>
          </w:p>
        </w:tc>
        <w:tc>
          <w:tcPr>
            <w:tcW w:w="1440" w:type="dxa"/>
            <w:tcBorders/>
          </w:tcPr>
          <w:p>
            <w:pPr>
              <w:pStyle w:val="TableContents"/>
              <w:bidi w:val="0"/>
              <w:spacing w:lineRule="atLeast" w:line="222" w:before="0" w:after="0"/>
              <w:ind w:left="0" w:right="0" w:hanging="0"/>
              <w:jc w:val="left"/>
              <w:rPr/>
            </w:pPr>
            <w:r>
              <w:rPr/>
              <w:t>High Price($)</w:t>
            </w:r>
          </w:p>
        </w:tc>
      </w:tr>
      <w:tr>
        <w:trPr/>
        <w:tc>
          <w:tcPr>
            <w:tcW w:w="1095" w:type="dxa"/>
            <w:tcBorders/>
          </w:tcPr>
          <w:p>
            <w:pPr>
              <w:pStyle w:val="TableContents"/>
              <w:bidi w:val="0"/>
              <w:spacing w:before="0" w:after="90"/>
              <w:jc w:val="left"/>
              <w:rPr/>
            </w:pPr>
            <w:r>
              <w:rPr/>
              <w:t>Atlas XI  </w:t>
            </w:r>
          </w:p>
        </w:tc>
        <w:tc>
          <w:tcPr>
            <w:tcW w:w="1425" w:type="dxa"/>
            <w:tcBorders/>
          </w:tcPr>
          <w:p>
            <w:pPr>
              <w:pStyle w:val="TableContents"/>
              <w:bidi w:val="0"/>
              <w:spacing w:before="0" w:after="0"/>
              <w:jc w:val="left"/>
              <w:rPr/>
            </w:pPr>
            <w:r>
              <w:rPr/>
              <w:t>Sale of Common Stock</w:t>
            </w:r>
          </w:p>
        </w:tc>
        <w:tc>
          <w:tcPr>
            <w:tcW w:w="1590" w:type="dxa"/>
            <w:tcBorders/>
          </w:tcPr>
          <w:p>
            <w:pPr>
              <w:pStyle w:val="TableContents"/>
              <w:bidi w:val="0"/>
              <w:spacing w:before="0" w:after="0"/>
              <w:jc w:val="left"/>
              <w:rPr/>
            </w:pPr>
            <w:r>
              <w:rPr/>
              <w:t>2,441</w:t>
            </w:r>
          </w:p>
        </w:tc>
        <w:tc>
          <w:tcPr>
            <w:tcW w:w="1770" w:type="dxa"/>
            <w:tcBorders/>
          </w:tcPr>
          <w:p>
            <w:pPr>
              <w:pStyle w:val="TableContents"/>
              <w:bidi w:val="0"/>
              <w:spacing w:before="0" w:after="0"/>
              <w:jc w:val="left"/>
              <w:rPr/>
            </w:pPr>
            <w:r>
              <w:rPr/>
              <w:t>13.95</w:t>
            </w:r>
          </w:p>
        </w:tc>
        <w:tc>
          <w:tcPr>
            <w:tcW w:w="1080" w:type="dxa"/>
            <w:tcBorders/>
          </w:tcPr>
          <w:p>
            <w:pPr>
              <w:pStyle w:val="TableContents"/>
              <w:bidi w:val="0"/>
              <w:spacing w:lineRule="atLeast" w:line="224" w:before="0" w:after="0"/>
              <w:ind w:left="0" w:right="0" w:hanging="0"/>
              <w:jc w:val="left"/>
              <w:rPr/>
            </w:pPr>
            <w:r>
              <w:rPr/>
              <w:t>5/28/2026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13.95</w:t>
            </w:r>
          </w:p>
        </w:tc>
      </w:tr>
      <w:tr>
        <w:trPr/>
        <w:tc>
          <w:tcPr>
            <w:tcW w:w="1095" w:type="dxa"/>
            <w:tcBorders/>
          </w:tcPr>
          <w:p>
            <w:pPr>
              <w:pStyle w:val="TableContents"/>
              <w:bidi w:val="0"/>
              <w:spacing w:before="0" w:after="90"/>
              <w:jc w:val="left"/>
              <w:rPr/>
            </w:pPr>
            <w:r>
              <w:rPr/>
              <w:t>AVOF II</w:t>
            </w:r>
          </w:p>
        </w:tc>
        <w:tc>
          <w:tcPr>
            <w:tcW w:w="1425" w:type="dxa"/>
            <w:tcBorders/>
          </w:tcPr>
          <w:p>
            <w:pPr>
              <w:pStyle w:val="TableContents"/>
              <w:bidi w:val="0"/>
              <w:spacing w:before="0" w:after="0"/>
              <w:jc w:val="left"/>
              <w:rPr/>
            </w:pPr>
            <w:r>
              <w:rPr/>
              <w:t>Sale of Common Stock</w:t>
            </w:r>
          </w:p>
        </w:tc>
        <w:tc>
          <w:tcPr>
            <w:tcW w:w="1590" w:type="dxa"/>
            <w:tcBorders/>
          </w:tcPr>
          <w:p>
            <w:pPr>
              <w:pStyle w:val="TableContents"/>
              <w:bidi w:val="0"/>
              <w:spacing w:before="0" w:after="0"/>
              <w:jc w:val="left"/>
              <w:rPr/>
            </w:pPr>
            <w:r>
              <w:rPr/>
              <w:t>419</w:t>
            </w:r>
          </w:p>
        </w:tc>
        <w:tc>
          <w:tcPr>
            <w:tcW w:w="1770" w:type="dxa"/>
            <w:tcBorders/>
          </w:tcPr>
          <w:p>
            <w:pPr>
              <w:pStyle w:val="TableContents"/>
              <w:bidi w:val="0"/>
              <w:spacing w:before="0" w:after="0"/>
              <w:jc w:val="left"/>
              <w:rPr/>
            </w:pPr>
            <w:r>
              <w:rPr/>
              <w:t>13.95</w:t>
            </w:r>
          </w:p>
        </w:tc>
        <w:tc>
          <w:tcPr>
            <w:tcW w:w="1080" w:type="dxa"/>
            <w:tcBorders/>
          </w:tcPr>
          <w:p>
            <w:pPr>
              <w:pStyle w:val="TableContents"/>
              <w:bidi w:val="0"/>
              <w:spacing w:lineRule="atLeast" w:line="224" w:before="0" w:after="0"/>
              <w:ind w:left="0" w:right="0" w:hanging="0"/>
              <w:jc w:val="left"/>
              <w:rPr/>
            </w:pPr>
            <w:r>
              <w:rPr/>
              <w:t>5/28/2026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13.95</w:t>
            </w:r>
          </w:p>
        </w:tc>
      </w:tr>
      <w:tr>
        <w:trPr/>
        <w:tc>
          <w:tcPr>
            <w:tcW w:w="1095" w:type="dxa"/>
            <w:tcBorders/>
          </w:tcPr>
          <w:p>
            <w:pPr>
              <w:pStyle w:val="TableContents"/>
              <w:bidi w:val="0"/>
              <w:spacing w:before="0" w:after="90"/>
              <w:jc w:val="left"/>
              <w:rPr/>
            </w:pPr>
            <w:r>
              <w:rPr/>
              <w:t>Atlas XI  </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3,382</w:t>
            </w:r>
          </w:p>
        </w:tc>
        <w:tc>
          <w:tcPr>
            <w:tcW w:w="1770" w:type="dxa"/>
            <w:tcBorders/>
          </w:tcPr>
          <w:p>
            <w:pPr>
              <w:pStyle w:val="TableContents"/>
              <w:bidi w:val="0"/>
              <w:spacing w:before="0" w:after="0"/>
              <w:jc w:val="left"/>
              <w:rPr/>
            </w:pPr>
            <w:r>
              <w:rPr/>
              <w:t>13.95</w:t>
            </w:r>
          </w:p>
        </w:tc>
        <w:tc>
          <w:tcPr>
            <w:tcW w:w="1080" w:type="dxa"/>
            <w:tcBorders/>
          </w:tcPr>
          <w:p>
            <w:pPr>
              <w:pStyle w:val="TableContents"/>
              <w:bidi w:val="0"/>
              <w:spacing w:lineRule="atLeast" w:line="224" w:before="0" w:after="0"/>
              <w:ind w:left="0" w:right="0" w:hanging="0"/>
              <w:jc w:val="left"/>
              <w:rPr/>
            </w:pPr>
            <w:r>
              <w:rPr/>
              <w:t>6/22/2026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13.95</w:t>
            </w:r>
          </w:p>
        </w:tc>
      </w:tr>
      <w:tr>
        <w:trPr/>
        <w:tc>
          <w:tcPr>
            <w:tcW w:w="1095" w:type="dxa"/>
            <w:tcBorders/>
          </w:tcPr>
          <w:p>
            <w:pPr>
              <w:pStyle w:val="TableContents"/>
              <w:bidi w:val="0"/>
              <w:spacing w:before="0" w:after="90"/>
              <w:jc w:val="left"/>
              <w:rPr/>
            </w:pPr>
            <w:r>
              <w:rPr/>
              <w:t>AVOF II</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580</w:t>
            </w:r>
          </w:p>
        </w:tc>
        <w:tc>
          <w:tcPr>
            <w:tcW w:w="1770" w:type="dxa"/>
            <w:tcBorders/>
          </w:tcPr>
          <w:p>
            <w:pPr>
              <w:pStyle w:val="TableContents"/>
              <w:bidi w:val="0"/>
              <w:spacing w:before="0" w:after="0"/>
              <w:jc w:val="left"/>
              <w:rPr/>
            </w:pPr>
            <w:r>
              <w:rPr/>
              <w:t>13.95</w:t>
            </w:r>
          </w:p>
        </w:tc>
        <w:tc>
          <w:tcPr>
            <w:tcW w:w="1080" w:type="dxa"/>
            <w:tcBorders/>
          </w:tcPr>
          <w:p>
            <w:pPr>
              <w:pStyle w:val="TableContents"/>
              <w:bidi w:val="0"/>
              <w:spacing w:lineRule="atLeast" w:line="224" w:before="0" w:after="0"/>
              <w:ind w:left="0" w:right="0" w:hanging="0"/>
              <w:jc w:val="left"/>
              <w:rPr/>
            </w:pPr>
            <w:r>
              <w:rPr/>
              <w:t>6/22/2026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13.95</w:t>
            </w:r>
          </w:p>
        </w:tc>
      </w:tr>
      <w:tr>
        <w:trPr/>
        <w:tc>
          <w:tcPr>
            <w:tcW w:w="1095" w:type="dxa"/>
            <w:tcBorders/>
          </w:tcPr>
          <w:p>
            <w:pPr>
              <w:pStyle w:val="TableContents"/>
              <w:bidi w:val="0"/>
              <w:spacing w:before="0" w:after="90"/>
              <w:jc w:val="left"/>
              <w:rPr/>
            </w:pPr>
            <w:r>
              <w:rPr/>
              <w:t>Atlas XI  </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101,579</w:t>
            </w:r>
          </w:p>
        </w:tc>
        <w:tc>
          <w:tcPr>
            <w:tcW w:w="1770" w:type="dxa"/>
            <w:tcBorders/>
          </w:tcPr>
          <w:p>
            <w:pPr>
              <w:pStyle w:val="TableContents"/>
              <w:bidi w:val="0"/>
              <w:spacing w:before="0" w:after="0"/>
              <w:jc w:val="left"/>
              <w:rPr/>
            </w:pPr>
            <w:r>
              <w:rPr/>
              <w:t>14.25</w:t>
            </w:r>
          </w:p>
        </w:tc>
        <w:tc>
          <w:tcPr>
            <w:tcW w:w="1080" w:type="dxa"/>
            <w:tcBorders/>
          </w:tcPr>
          <w:p>
            <w:pPr>
              <w:pStyle w:val="TableContents"/>
              <w:bidi w:val="0"/>
              <w:spacing w:lineRule="atLeast" w:line="224" w:before="0" w:after="0"/>
              <w:ind w:left="0" w:right="0" w:hanging="0"/>
              <w:jc w:val="left"/>
              <w:rPr/>
            </w:pPr>
            <w:r>
              <w:rPr/>
              <w:t>6/23/2026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14.49</w:t>
            </w:r>
          </w:p>
        </w:tc>
      </w:tr>
      <w:tr>
        <w:trPr/>
        <w:tc>
          <w:tcPr>
            <w:tcW w:w="1095" w:type="dxa"/>
            <w:tcBorders/>
          </w:tcPr>
          <w:p>
            <w:pPr>
              <w:pStyle w:val="TableContents"/>
              <w:bidi w:val="0"/>
              <w:spacing w:before="0" w:after="90"/>
              <w:jc w:val="left"/>
              <w:rPr/>
            </w:pPr>
            <w:r>
              <w:rPr/>
              <w:t>AVOF II</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17,426</w:t>
            </w:r>
          </w:p>
        </w:tc>
        <w:tc>
          <w:tcPr>
            <w:tcW w:w="1770" w:type="dxa"/>
            <w:tcBorders/>
          </w:tcPr>
          <w:p>
            <w:pPr>
              <w:pStyle w:val="TableContents"/>
              <w:bidi w:val="0"/>
              <w:spacing w:before="0" w:after="0"/>
              <w:jc w:val="left"/>
              <w:rPr/>
            </w:pPr>
            <w:r>
              <w:rPr/>
              <w:t>14.25</w:t>
            </w:r>
          </w:p>
        </w:tc>
        <w:tc>
          <w:tcPr>
            <w:tcW w:w="1080" w:type="dxa"/>
            <w:tcBorders/>
          </w:tcPr>
          <w:p>
            <w:pPr>
              <w:pStyle w:val="TableContents"/>
              <w:bidi w:val="0"/>
              <w:spacing w:lineRule="atLeast" w:line="224" w:before="0" w:after="0"/>
              <w:ind w:left="0" w:right="0" w:hanging="0"/>
              <w:jc w:val="left"/>
              <w:rPr/>
            </w:pPr>
            <w:r>
              <w:rPr/>
              <w:t>6/23/2026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14.49</w:t>
            </w:r>
          </w:p>
        </w:tc>
      </w:tr>
      <w:tr>
        <w:trPr/>
        <w:tc>
          <w:tcPr>
            <w:tcW w:w="1095" w:type="dxa"/>
            <w:tcBorders/>
          </w:tcPr>
          <w:p>
            <w:pPr>
              <w:pStyle w:val="TableContents"/>
              <w:bidi w:val="0"/>
              <w:spacing w:before="0" w:after="90"/>
              <w:jc w:val="left"/>
              <w:rPr/>
            </w:pPr>
            <w:r>
              <w:rPr/>
              <w:t>Atlas XI  </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40,679</w:t>
            </w:r>
          </w:p>
        </w:tc>
        <w:tc>
          <w:tcPr>
            <w:tcW w:w="1770" w:type="dxa"/>
            <w:tcBorders/>
          </w:tcPr>
          <w:p>
            <w:pPr>
              <w:pStyle w:val="TableContents"/>
              <w:bidi w:val="0"/>
              <w:spacing w:before="0" w:after="0"/>
              <w:jc w:val="left"/>
              <w:rPr/>
            </w:pPr>
            <w:r>
              <w:rPr/>
              <w:t>14.60</w:t>
            </w:r>
          </w:p>
        </w:tc>
        <w:tc>
          <w:tcPr>
            <w:tcW w:w="1080" w:type="dxa"/>
            <w:tcBorders/>
          </w:tcPr>
          <w:p>
            <w:pPr>
              <w:pStyle w:val="TableContents"/>
              <w:bidi w:val="0"/>
              <w:spacing w:lineRule="atLeast" w:line="224" w:before="0" w:after="0"/>
              <w:ind w:left="0" w:right="0" w:hanging="0"/>
              <w:jc w:val="left"/>
              <w:rPr/>
            </w:pPr>
            <w:r>
              <w:rPr/>
              <w:t>6/24/2026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14.88</w:t>
            </w:r>
          </w:p>
        </w:tc>
      </w:tr>
      <w:tr>
        <w:trPr/>
        <w:tc>
          <w:tcPr>
            <w:tcW w:w="1095" w:type="dxa"/>
            <w:tcBorders/>
          </w:tcPr>
          <w:p>
            <w:pPr>
              <w:pStyle w:val="TableContents"/>
              <w:bidi w:val="0"/>
              <w:spacing w:before="0" w:after="90"/>
              <w:jc w:val="left"/>
              <w:rPr/>
            </w:pPr>
            <w:r>
              <w:rPr/>
              <w:t>AVOF II</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6,979</w:t>
            </w:r>
          </w:p>
        </w:tc>
        <w:tc>
          <w:tcPr>
            <w:tcW w:w="1770" w:type="dxa"/>
            <w:tcBorders/>
          </w:tcPr>
          <w:p>
            <w:pPr>
              <w:pStyle w:val="TableContents"/>
              <w:bidi w:val="0"/>
              <w:spacing w:before="0" w:after="0"/>
              <w:jc w:val="left"/>
              <w:rPr/>
            </w:pPr>
            <w:r>
              <w:rPr/>
              <w:t>14.60</w:t>
            </w:r>
          </w:p>
        </w:tc>
        <w:tc>
          <w:tcPr>
            <w:tcW w:w="1080" w:type="dxa"/>
            <w:tcBorders/>
          </w:tcPr>
          <w:p>
            <w:pPr>
              <w:pStyle w:val="TableContents"/>
              <w:bidi w:val="0"/>
              <w:spacing w:lineRule="atLeast" w:line="224" w:before="0" w:after="0"/>
              <w:ind w:left="0" w:right="0" w:hanging="0"/>
              <w:jc w:val="left"/>
              <w:rPr/>
            </w:pPr>
            <w:r>
              <w:rPr/>
              <w:t>6/24/2026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14.88</w:t>
            </w:r>
          </w:p>
        </w:tc>
      </w:tr>
      <w:tr>
        <w:trPr/>
        <w:tc>
          <w:tcPr>
            <w:tcW w:w="1095" w:type="dxa"/>
            <w:tcBorders/>
          </w:tcPr>
          <w:p>
            <w:pPr>
              <w:pStyle w:val="TableContents"/>
              <w:bidi w:val="0"/>
              <w:spacing w:before="0" w:after="90"/>
              <w:jc w:val="left"/>
              <w:rPr/>
            </w:pPr>
            <w:r>
              <w:rPr/>
              <w:t>Atlas XI  </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666</w:t>
            </w:r>
          </w:p>
        </w:tc>
        <w:tc>
          <w:tcPr>
            <w:tcW w:w="1770" w:type="dxa"/>
            <w:tcBorders/>
          </w:tcPr>
          <w:p>
            <w:pPr>
              <w:pStyle w:val="TableContents"/>
              <w:bidi w:val="0"/>
              <w:spacing w:before="0" w:after="0"/>
              <w:jc w:val="left"/>
              <w:rPr/>
            </w:pPr>
            <w:r>
              <w:rPr/>
              <w:t>14.98</w:t>
            </w:r>
          </w:p>
        </w:tc>
        <w:tc>
          <w:tcPr>
            <w:tcW w:w="1080" w:type="dxa"/>
            <w:tcBorders/>
          </w:tcPr>
          <w:p>
            <w:pPr>
              <w:pStyle w:val="TableContents"/>
              <w:bidi w:val="0"/>
              <w:spacing w:lineRule="atLeast" w:line="224" w:before="0" w:after="0"/>
              <w:ind w:left="0" w:right="0" w:hanging="0"/>
              <w:jc w:val="left"/>
              <w:rPr/>
            </w:pPr>
            <w:r>
              <w:rPr/>
              <w:t>6/24/2026</w:t>
            </w:r>
          </w:p>
        </w:tc>
        <w:tc>
          <w:tcPr>
            <w:tcW w:w="1530" w:type="dxa"/>
            <w:tcBorders/>
          </w:tcPr>
          <w:p>
            <w:pPr>
              <w:pStyle w:val="TableContents"/>
              <w:bidi w:val="0"/>
              <w:spacing w:lineRule="atLeast" w:line="222" w:before="0" w:after="0"/>
              <w:ind w:left="0" w:right="0" w:hanging="0"/>
              <w:jc w:val="left"/>
              <w:rPr/>
            </w:pPr>
            <w:r>
              <w:rPr/>
              <w:t>14.97</w:t>
            </w:r>
          </w:p>
        </w:tc>
        <w:tc>
          <w:tcPr>
            <w:tcW w:w="1440" w:type="dxa"/>
            <w:tcBorders/>
          </w:tcPr>
          <w:p>
            <w:pPr>
              <w:pStyle w:val="TableContents"/>
              <w:bidi w:val="0"/>
              <w:spacing w:lineRule="atLeast" w:line="222" w:before="0" w:after="0"/>
              <w:ind w:left="0" w:right="0" w:hanging="0"/>
              <w:jc w:val="left"/>
              <w:rPr/>
            </w:pPr>
            <w:r>
              <w:rPr/>
              <w:t>15.10</w:t>
            </w:r>
          </w:p>
        </w:tc>
      </w:tr>
      <w:tr>
        <w:trPr/>
        <w:tc>
          <w:tcPr>
            <w:tcW w:w="1095" w:type="dxa"/>
            <w:tcBorders/>
          </w:tcPr>
          <w:p>
            <w:pPr>
              <w:pStyle w:val="TableContents"/>
              <w:bidi w:val="0"/>
              <w:spacing w:before="0" w:after="90"/>
              <w:jc w:val="left"/>
              <w:rPr/>
            </w:pPr>
            <w:r>
              <w:rPr/>
              <w:t>AVOF II</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114</w:t>
            </w:r>
          </w:p>
        </w:tc>
        <w:tc>
          <w:tcPr>
            <w:tcW w:w="1770" w:type="dxa"/>
            <w:tcBorders/>
          </w:tcPr>
          <w:p>
            <w:pPr>
              <w:pStyle w:val="TableContents"/>
              <w:bidi w:val="0"/>
              <w:spacing w:before="0" w:after="0"/>
              <w:jc w:val="left"/>
              <w:rPr/>
            </w:pPr>
            <w:r>
              <w:rPr/>
              <w:t>14.98</w:t>
            </w:r>
          </w:p>
        </w:tc>
        <w:tc>
          <w:tcPr>
            <w:tcW w:w="1080" w:type="dxa"/>
            <w:tcBorders/>
          </w:tcPr>
          <w:p>
            <w:pPr>
              <w:pStyle w:val="TableContents"/>
              <w:bidi w:val="0"/>
              <w:spacing w:lineRule="atLeast" w:line="224" w:before="0" w:after="0"/>
              <w:ind w:left="0" w:right="0" w:hanging="0"/>
              <w:jc w:val="left"/>
              <w:rPr/>
            </w:pPr>
            <w:r>
              <w:rPr/>
              <w:t>6/24/2026</w:t>
            </w:r>
          </w:p>
        </w:tc>
        <w:tc>
          <w:tcPr>
            <w:tcW w:w="1530" w:type="dxa"/>
            <w:tcBorders/>
          </w:tcPr>
          <w:p>
            <w:pPr>
              <w:pStyle w:val="TableContents"/>
              <w:bidi w:val="0"/>
              <w:spacing w:lineRule="atLeast" w:line="222" w:before="0" w:after="0"/>
              <w:ind w:left="0" w:right="0" w:hanging="0"/>
              <w:jc w:val="left"/>
              <w:rPr/>
            </w:pPr>
            <w:r>
              <w:rPr/>
              <w:t>14.97</w:t>
            </w:r>
          </w:p>
        </w:tc>
        <w:tc>
          <w:tcPr>
            <w:tcW w:w="1440" w:type="dxa"/>
            <w:tcBorders/>
          </w:tcPr>
          <w:p>
            <w:pPr>
              <w:pStyle w:val="TableContents"/>
              <w:bidi w:val="0"/>
              <w:spacing w:lineRule="atLeast" w:line="222" w:before="0" w:after="0"/>
              <w:ind w:left="0" w:right="0" w:hanging="0"/>
              <w:jc w:val="left"/>
              <w:rPr/>
            </w:pPr>
            <w:r>
              <w:rPr/>
              <w:t>15.10</w:t>
            </w:r>
          </w:p>
        </w:tc>
      </w:tr>
      <w:tr>
        <w:trPr/>
        <w:tc>
          <w:tcPr>
            <w:tcW w:w="1095" w:type="dxa"/>
            <w:tcBorders/>
          </w:tcPr>
          <w:p>
            <w:pPr>
              <w:pStyle w:val="TableContents"/>
              <w:bidi w:val="0"/>
              <w:spacing w:before="0" w:after="90"/>
              <w:jc w:val="left"/>
              <w:rPr/>
            </w:pPr>
            <w:r>
              <w:rPr/>
              <w:t>Atlas XI  </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85,955</w:t>
            </w:r>
          </w:p>
        </w:tc>
        <w:tc>
          <w:tcPr>
            <w:tcW w:w="1770" w:type="dxa"/>
            <w:tcBorders/>
          </w:tcPr>
          <w:p>
            <w:pPr>
              <w:pStyle w:val="TableContents"/>
              <w:bidi w:val="0"/>
              <w:spacing w:before="0" w:after="0"/>
              <w:jc w:val="left"/>
              <w:rPr/>
            </w:pPr>
            <w:r>
              <w:rPr/>
              <w:t>14.03</w:t>
            </w:r>
          </w:p>
        </w:tc>
        <w:tc>
          <w:tcPr>
            <w:tcW w:w="1080" w:type="dxa"/>
            <w:tcBorders/>
          </w:tcPr>
          <w:p>
            <w:pPr>
              <w:pStyle w:val="TableContents"/>
              <w:bidi w:val="0"/>
              <w:spacing w:lineRule="atLeast" w:line="224" w:before="0" w:after="0"/>
              <w:ind w:left="0" w:right="0" w:hanging="0"/>
              <w:jc w:val="left"/>
              <w:rPr/>
            </w:pPr>
            <w:r>
              <w:rPr/>
              <w:t>7/2/2026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14.16</w:t>
            </w:r>
          </w:p>
        </w:tc>
      </w:tr>
      <w:tr>
        <w:trPr/>
        <w:tc>
          <w:tcPr>
            <w:tcW w:w="1095" w:type="dxa"/>
            <w:tcBorders/>
          </w:tcPr>
          <w:p>
            <w:pPr>
              <w:pStyle w:val="TableContents"/>
              <w:bidi w:val="0"/>
              <w:spacing w:before="0" w:after="90"/>
              <w:jc w:val="left"/>
              <w:rPr/>
            </w:pPr>
            <w:r>
              <w:rPr/>
              <w:t>AVOF II</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14,745</w:t>
            </w:r>
          </w:p>
        </w:tc>
        <w:tc>
          <w:tcPr>
            <w:tcW w:w="1770" w:type="dxa"/>
            <w:tcBorders/>
          </w:tcPr>
          <w:p>
            <w:pPr>
              <w:pStyle w:val="TableContents"/>
              <w:bidi w:val="0"/>
              <w:spacing w:before="0" w:after="0"/>
              <w:jc w:val="left"/>
              <w:rPr/>
            </w:pPr>
            <w:r>
              <w:rPr/>
              <w:t>14.03</w:t>
            </w:r>
          </w:p>
        </w:tc>
        <w:tc>
          <w:tcPr>
            <w:tcW w:w="1080" w:type="dxa"/>
            <w:tcBorders/>
          </w:tcPr>
          <w:p>
            <w:pPr>
              <w:pStyle w:val="TableContents"/>
              <w:bidi w:val="0"/>
              <w:spacing w:lineRule="atLeast" w:line="224" w:before="0" w:after="0"/>
              <w:ind w:left="0" w:right="0" w:hanging="0"/>
              <w:jc w:val="left"/>
              <w:rPr/>
            </w:pPr>
            <w:r>
              <w:rPr/>
              <w:t>7/2/2026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14.16</w:t>
            </w:r>
          </w:p>
        </w:tc>
      </w:tr>
      <w:tr>
        <w:trPr/>
        <w:tc>
          <w:tcPr>
            <w:tcW w:w="1095" w:type="dxa"/>
            <w:tcBorders/>
          </w:tcPr>
          <w:p>
            <w:pPr>
              <w:pStyle w:val="TableContents"/>
              <w:bidi w:val="0"/>
              <w:spacing w:before="0" w:after="90"/>
              <w:jc w:val="left"/>
              <w:rPr/>
            </w:pPr>
            <w:r>
              <w:rPr/>
              <w:t>Atlas XI  </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817</w:t>
            </w:r>
          </w:p>
        </w:tc>
        <w:tc>
          <w:tcPr>
            <w:tcW w:w="1770" w:type="dxa"/>
            <w:tcBorders/>
          </w:tcPr>
          <w:p>
            <w:pPr>
              <w:pStyle w:val="TableContents"/>
              <w:bidi w:val="0"/>
              <w:spacing w:before="0" w:after="0"/>
              <w:jc w:val="left"/>
              <w:rPr/>
            </w:pPr>
            <w:r>
              <w:rPr/>
              <w:t>13.96</w:t>
            </w:r>
          </w:p>
        </w:tc>
        <w:tc>
          <w:tcPr>
            <w:tcW w:w="1080" w:type="dxa"/>
            <w:tcBorders/>
          </w:tcPr>
          <w:p>
            <w:pPr>
              <w:pStyle w:val="TableContents"/>
              <w:bidi w:val="0"/>
              <w:spacing w:lineRule="atLeast" w:line="224" w:before="0" w:after="0"/>
              <w:ind w:left="0" w:right="0" w:hanging="0"/>
              <w:jc w:val="left"/>
              <w:rPr/>
            </w:pPr>
            <w:r>
              <w:rPr/>
              <w:t>7/6/2026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14.05</w:t>
            </w:r>
          </w:p>
        </w:tc>
      </w:tr>
      <w:tr>
        <w:trPr/>
        <w:tc>
          <w:tcPr>
            <w:tcW w:w="1095" w:type="dxa"/>
            <w:tcBorders/>
          </w:tcPr>
          <w:p>
            <w:pPr>
              <w:pStyle w:val="TableContents"/>
              <w:bidi w:val="0"/>
              <w:spacing w:before="0" w:after="90"/>
              <w:jc w:val="left"/>
              <w:rPr/>
            </w:pPr>
            <w:r>
              <w:rPr/>
              <w:t>AVOF II</w:t>
            </w:r>
          </w:p>
        </w:tc>
        <w:tc>
          <w:tcPr>
            <w:tcW w:w="1425" w:type="dxa"/>
            <w:tcBorders/>
          </w:tcPr>
          <w:p>
            <w:pPr>
              <w:pStyle w:val="TableContents"/>
              <w:bidi w:val="0"/>
              <w:spacing w:before="0" w:after="90"/>
              <w:jc w:val="left"/>
              <w:rPr/>
            </w:pPr>
            <w:r>
              <w:rPr/>
              <w:t>Sale of Common Stock</w:t>
            </w:r>
          </w:p>
        </w:tc>
        <w:tc>
          <w:tcPr>
            <w:tcW w:w="1590" w:type="dxa"/>
            <w:tcBorders/>
          </w:tcPr>
          <w:p>
            <w:pPr>
              <w:pStyle w:val="TableContents"/>
              <w:bidi w:val="0"/>
              <w:spacing w:before="0" w:after="0"/>
              <w:jc w:val="left"/>
              <w:rPr/>
            </w:pPr>
            <w:r>
              <w:rPr/>
              <w:t>8,506</w:t>
            </w:r>
          </w:p>
        </w:tc>
        <w:tc>
          <w:tcPr>
            <w:tcW w:w="1770" w:type="dxa"/>
            <w:tcBorders/>
          </w:tcPr>
          <w:p>
            <w:pPr>
              <w:pStyle w:val="TableContents"/>
              <w:bidi w:val="0"/>
              <w:spacing w:before="0" w:after="0"/>
              <w:jc w:val="left"/>
              <w:rPr/>
            </w:pPr>
            <w:r>
              <w:rPr/>
              <w:t>13.96</w:t>
            </w:r>
          </w:p>
        </w:tc>
        <w:tc>
          <w:tcPr>
            <w:tcW w:w="1080" w:type="dxa"/>
            <w:tcBorders/>
          </w:tcPr>
          <w:p>
            <w:pPr>
              <w:pStyle w:val="TableContents"/>
              <w:bidi w:val="0"/>
              <w:spacing w:lineRule="atLeast" w:line="224" w:before="0" w:after="0"/>
              <w:ind w:left="0" w:right="0" w:hanging="0"/>
              <w:jc w:val="left"/>
              <w:rPr/>
            </w:pPr>
            <w:r>
              <w:rPr/>
              <w:t>7/6/2026</w:t>
            </w:r>
          </w:p>
        </w:tc>
        <w:tc>
          <w:tcPr>
            <w:tcW w:w="1530" w:type="dxa"/>
            <w:tcBorders/>
          </w:tcPr>
          <w:p>
            <w:pPr>
              <w:pStyle w:val="TableContents"/>
              <w:bidi w:val="0"/>
              <w:spacing w:lineRule="atLeast" w:line="222" w:before="0" w:after="0"/>
              <w:ind w:left="0" w:right="0" w:hanging="0"/>
              <w:jc w:val="left"/>
              <w:rPr/>
            </w:pPr>
            <w:r>
              <w:rPr/>
              <w:t>13.95</w:t>
            </w:r>
          </w:p>
        </w:tc>
        <w:tc>
          <w:tcPr>
            <w:tcW w:w="1440" w:type="dxa"/>
            <w:tcBorders/>
          </w:tcPr>
          <w:p>
            <w:pPr>
              <w:pStyle w:val="TableContents"/>
              <w:bidi w:val="0"/>
              <w:spacing w:lineRule="atLeast" w:line="222" w:before="0" w:after="0"/>
              <w:ind w:left="0" w:right="0" w:hanging="0"/>
              <w:jc w:val="left"/>
              <w:rPr/>
            </w:pPr>
            <w:r>
              <w:rPr/>
              <w:t>14.05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2026</Words>
  <Characters>10039</Characters>
  <CharactersWithSpaces>11835</CharactersWithSpaces>
  <Paragraphs>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