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4025900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-1595755</wp:posOffset>
            </wp:positionH>
            <wp:positionV relativeFrom="paragraph">
              <wp:posOffset>23495</wp:posOffset>
            </wp:positionV>
            <wp:extent cx="6990715" cy="6713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671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4" w:right="359" w:bottom="11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Mitrano Richard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FREQUENCY THERAPEUTICS, INC., 75 HAYDEN AVE, SUITE 300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Frequency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FREQ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Finance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7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 w:right="460" w:hanging="252"/>
        <w:spacing w:after="0" w:line="183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16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31,753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0.35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31,529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32,287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Carey/Mitrano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7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758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24,242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758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-2588260</wp:posOffset>
            </wp:positionV>
            <wp:extent cx="29210" cy="2593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9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portion of the shares required to be sold by the Reporting Person to cover tax withholding obligations in connection with the vesting of the restricted stock units pursuant to a Rule 10b5-1 trading plan entered into on March 22, 2022 and does not represent discretionary trades by the Reporting Person.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fully vest on July 4, 2023.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James Abely,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Richard Mitrano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400" w:firstLine="5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1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5287" TargetMode="External"/><Relationship Id="rId13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2023-07-07T16:12:02Z</dcterms:created>
  <dcterms:modified xsi:type="dcterms:W3CDTF">2023-07-07T16:12:02Z</dcterms:modified>
</cp:coreProperties>
</file>