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 xml:space="preserve">As filed with the Securities and Exchange Commission on </w:t>
      </w:r>
      <w:r>
        <w:rPr>
          <w:rFonts w:ascii="Times New Roman" w:cs="Times New Roman" w:eastAsia="Times New Roman" w:hAnsi="Times New Roman"/>
          <w:sz w:val="13"/>
          <w:szCs w:val="13"/>
          <w:b w:val="1"/>
          <w:bCs w:val="1"/>
          <w:u w:val="single" w:color="auto"/>
          <w:color w:val="auto"/>
        </w:rPr>
        <w:t>December 1</w:t>
      </w:r>
      <w:r>
        <w:rPr>
          <w:rFonts w:ascii="Times New Roman" w:cs="Times New Roman" w:eastAsia="Times New Roman" w:hAnsi="Times New Roman"/>
          <w:sz w:val="13"/>
          <w:szCs w:val="13"/>
          <w:b w:val="1"/>
          <w:bCs w:val="1"/>
          <w:color w:val="auto"/>
        </w:rPr>
        <w:t>, 2023</w:t>
      </w:r>
    </w:p>
    <w:p>
      <w:pPr>
        <w:spacing w:after="0" w:line="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333-275353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S-3 on FORM S-1</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KORRO BIO, INC.</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5"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2834</w:t>
            </w:r>
          </w:p>
        </w:tc>
        <w:tc>
          <w:tcPr>
            <w:tcW w:w="2360" w:type="dxa"/>
            <w:vAlign w:val="bottom"/>
          </w:tcPr>
          <w:p>
            <w:pPr>
              <w:jc w:val="center"/>
              <w:ind w:left="1034"/>
              <w:spacing w:after="0"/>
              <w:rPr>
                <w:sz w:val="20"/>
                <w:szCs w:val="20"/>
                <w:color w:val="auto"/>
              </w:rPr>
            </w:pPr>
            <w:r>
              <w:rPr>
                <w:rFonts w:ascii="Times New Roman" w:cs="Times New Roman" w:eastAsia="Times New Roman" w:hAnsi="Times New Roman"/>
                <w:sz w:val="14"/>
                <w:szCs w:val="14"/>
                <w:b w:val="1"/>
                <w:bCs w:val="1"/>
                <w:color w:val="auto"/>
              </w:rPr>
              <w:t>47-2324450</w:t>
            </w:r>
          </w:p>
        </w:tc>
      </w:tr>
      <w:tr>
        <w:trPr>
          <w:trHeight w:val="135"/>
        </w:trPr>
        <w:tc>
          <w:tcPr>
            <w:tcW w:w="2720" w:type="dxa"/>
            <w:vAlign w:val="bottom"/>
          </w:tcPr>
          <w:p>
            <w:pPr>
              <w:jc w:val="center"/>
              <w:ind w:right="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360" w:type="dxa"/>
            <w:vAlign w:val="bottom"/>
          </w:tcPr>
          <w:p>
            <w:pPr>
              <w:jc w:val="center"/>
              <w:ind w:left="10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101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Classification Code No.)</w:t>
            </w:r>
          </w:p>
        </w:tc>
        <w:tc>
          <w:tcPr>
            <w:tcW w:w="2360" w:type="dxa"/>
            <w:vAlign w:val="bottom"/>
          </w:tcPr>
          <w:p>
            <w:pPr>
              <w:jc w:val="center"/>
              <w:ind w:left="1034"/>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One Kendall Square, Building 600-700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Suite 6-401</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Cambridge, MA 02139</w:t>
      </w:r>
    </w:p>
    <w:p>
      <w:pPr>
        <w:jc w:val="center"/>
        <w:ind w:right="-119"/>
        <w:spacing w:after="0" w:line="226" w:lineRule="auto"/>
        <w:rPr>
          <w:sz w:val="20"/>
          <w:szCs w:val="20"/>
          <w:color w:val="auto"/>
        </w:rPr>
      </w:pPr>
      <w:r>
        <w:rPr>
          <w:rFonts w:ascii="Times New Roman" w:cs="Times New Roman" w:eastAsia="Times New Roman" w:hAnsi="Times New Roman"/>
          <w:sz w:val="14"/>
          <w:szCs w:val="14"/>
          <w:b w:val="1"/>
          <w:bCs w:val="1"/>
          <w:color w:val="auto"/>
        </w:rPr>
        <w:t>(617) 468-1999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Ram Aiyar</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Korro Bio, Inc.</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One Kendall Square, Building 600-700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Suite 6-401</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Cambridge, MA 02139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(617) 468-1999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Kingsley L. Taft, Esq.</w:t>
      </w:r>
    </w:p>
    <w:p>
      <w:pPr>
        <w:ind w:left="4780"/>
        <w:spacing w:after="0" w:line="227" w:lineRule="auto"/>
        <w:rPr>
          <w:sz w:val="20"/>
          <w:szCs w:val="20"/>
          <w:color w:val="auto"/>
        </w:rPr>
      </w:pPr>
      <w:r>
        <w:rPr>
          <w:rFonts w:ascii="Times New Roman" w:cs="Times New Roman" w:eastAsia="Times New Roman" w:hAnsi="Times New Roman"/>
          <w:sz w:val="14"/>
          <w:szCs w:val="14"/>
          <w:b w:val="1"/>
          <w:bCs w:val="1"/>
          <w:color w:val="auto"/>
        </w:rPr>
        <w:t>Marianne C. Sarrazin, Esq.</w:t>
      </w:r>
    </w:p>
    <w:p>
      <w:pPr>
        <w:ind w:left="4940"/>
        <w:spacing w:after="0" w:line="222" w:lineRule="auto"/>
        <w:rPr>
          <w:sz w:val="20"/>
          <w:szCs w:val="20"/>
          <w:color w:val="auto"/>
        </w:rPr>
      </w:pPr>
      <w:r>
        <w:rPr>
          <w:rFonts w:ascii="Times New Roman" w:cs="Times New Roman" w:eastAsia="Times New Roman" w:hAnsi="Times New Roman"/>
          <w:sz w:val="14"/>
          <w:szCs w:val="14"/>
          <w:b w:val="1"/>
          <w:bCs w:val="1"/>
          <w:color w:val="auto"/>
        </w:rPr>
        <w:t>Goodwin Procter LLP</w:t>
      </w:r>
    </w:p>
    <w:p>
      <w:pPr>
        <w:ind w:left="4960"/>
        <w:spacing w:after="0" w:line="221" w:lineRule="auto"/>
        <w:rPr>
          <w:sz w:val="20"/>
          <w:szCs w:val="20"/>
          <w:color w:val="auto"/>
        </w:rPr>
      </w:pPr>
      <w:r>
        <w:rPr>
          <w:rFonts w:ascii="Times New Roman" w:cs="Times New Roman" w:eastAsia="Times New Roman" w:hAnsi="Times New Roman"/>
          <w:sz w:val="14"/>
          <w:szCs w:val="14"/>
          <w:b w:val="1"/>
          <w:bCs w:val="1"/>
          <w:color w:val="auto"/>
        </w:rPr>
        <w:t>100 Northern Avenue</w:t>
      </w:r>
    </w:p>
    <w:p>
      <w:pPr>
        <w:ind w:left="5060"/>
        <w:spacing w:after="0" w:line="221" w:lineRule="auto"/>
        <w:rPr>
          <w:sz w:val="20"/>
          <w:szCs w:val="20"/>
          <w:color w:val="auto"/>
        </w:rPr>
      </w:pPr>
      <w:r>
        <w:rPr>
          <w:rFonts w:ascii="Times New Roman" w:cs="Times New Roman" w:eastAsia="Times New Roman" w:hAnsi="Times New Roman"/>
          <w:sz w:val="14"/>
          <w:szCs w:val="14"/>
          <w:b w:val="1"/>
          <w:bCs w:val="1"/>
          <w:color w:val="auto"/>
        </w:rPr>
        <w:t>Boston, MA 02210</w:t>
      </w:r>
    </w:p>
    <w:p>
      <w:pPr>
        <w:spacing w:after="0" w:line="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61" w:lineRule="exact"/>
        <w:rPr>
          <w:sz w:val="24"/>
          <w:szCs w:val="24"/>
          <w:color w:val="auto"/>
        </w:rPr>
      </w:pPr>
    </w:p>
    <w:p>
      <w:pPr>
        <w:ind w:left="120" w:right="1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ind w:left="120" w:right="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left="120" w:right="6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left="120" w:right="6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120" w:right="16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7"/>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left="120"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ind w:left="120" w:right="280"/>
        <w:spacing w:after="0"/>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1,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173990</wp:posOffset>
            </wp:positionV>
            <wp:extent cx="122555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55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 to 2,077,864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offer and resale or other disposition from time to time by the selling stockholders identified in this prospectus of up to an aggregate of 2,077,864 shares of common stock, par value $0.001 per share, of Korro Bio, Inc.</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registering the resale of the shares of common stock pursuant to the selling stockholders’ registration rights under a registration rights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have elected to comply with certain reduced public company reporting requirements for this prospectus and our other filings with the Securities and Exchange Commission.</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“KRRO.” On November 30, 2023, the closing price for our common stock, as reported on Nasdaq, was $41.91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See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5 of this prospectus to read about factors you should consider before buying our securities.</w:t>
      </w:r>
    </w:p>
    <w:p>
      <w:pPr>
        <w:spacing w:after="0" w:line="4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351"/>
        </w:trPr>
        <w:tc>
          <w:tcPr>
            <w:tcW w:w="5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29"/>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972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6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INFORMATION FOR COMMON STOCK AND DIVIDEND POLICY</w:t>
            </w:r>
          </w:p>
        </w:tc>
        <w:tc>
          <w:tcPr>
            <w:tcW w:w="46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40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99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KORRO BIO MANAGEMENT’S DISCUSSION AND ANALYSIS OF FINANCIAL CONDITION AND RESULTS OF OPERATIONS</w:t>
            </w:r>
          </w:p>
        </w:tc>
        <w:tc>
          <w:tcPr>
            <w:tcW w:w="7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00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FREQUENCY MANAGEMENT’S DISCUSSION AND ANALYSIS OF FINANCIAL CONDITION AND RESULTS OF OPERATIONS</w:t>
            </w:r>
          </w:p>
        </w:tc>
        <w:tc>
          <w:tcPr>
            <w:tcW w:w="6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34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LEGACY KORRO EXECUTIVE COMPENSATION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FREQUENCY EXECUTIVE AND DIRECTOR COMPENSATION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LEGACY KORRO CERTAIN RELATIONSHIPS AND RELATED PARTY TRANSACTIONS</w:t>
            </w:r>
          </w:p>
        </w:tc>
        <w:tc>
          <w:tcPr>
            <w:tcW w:w="37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RELATED PERSON TRANSACTIONS OF FREQUENCY</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PRINCIPAL SECURITYHOLDERS</w:t>
            </w:r>
          </w:p>
        </w:tc>
        <w:tc>
          <w:tcPr>
            <w:tcW w:w="55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160" w:type="dxa"/>
            <w:vAlign w:val="bottom"/>
            <w:tcBorders>
              <w:top w:val="single" w:sz="8" w:color="0000EE"/>
            </w:tcBorders>
          </w:tcPr>
          <w:p>
            <w:pPr>
              <w:spacing w:after="0"/>
              <w:rPr>
                <w:sz w:val="17"/>
                <w:szCs w:val="17"/>
                <w:color w:val="auto"/>
              </w:rPr>
            </w:pPr>
          </w:p>
        </w:tc>
        <w:tc>
          <w:tcPr>
            <w:tcW w:w="79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7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 IN AUDITORS</w:t>
            </w:r>
          </w:p>
        </w:tc>
        <w:tc>
          <w:tcPr>
            <w:tcW w:w="870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2"/>
          </w:tcPr>
          <w:p>
            <w:pPr>
              <w:spacing w:after="0"/>
              <w:rPr>
                <w:sz w:val="17"/>
                <w:szCs w:val="17"/>
                <w:color w:val="auto"/>
              </w:rPr>
            </w:pPr>
          </w:p>
        </w:tc>
        <w:tc>
          <w:tcPr>
            <w:tcW w:w="684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 INDEX</w:t>
            </w:r>
          </w:p>
        </w:tc>
        <w:tc>
          <w:tcPr>
            <w:tcW w:w="60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3"/>
          </w:tcPr>
          <w:p>
            <w:pPr>
              <w:spacing w:after="0"/>
              <w:rPr>
                <w:sz w:val="17"/>
                <w:szCs w:val="17"/>
                <w:color w:val="auto"/>
              </w:rPr>
            </w:pPr>
          </w:p>
        </w:tc>
        <w:tc>
          <w:tcPr>
            <w:tcW w:w="932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SEC, utilizing a “shelf” registration process. Under this shelf registration process, the selling stockholders may, from time to time, sell the shares of common stock described in this prospectus in one or more offerings.</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 November 3, 2023, or the Closing Date, we consummated the previously announced business combination, or the Merger, pursuant to that certain Agreement and Plan of Merger, or the Merger Agreement, dated July 14, 2023, by and among our company (formerly known as Frequency Therapeutics, Inc., or Frequency), Frequency Merger Sub, Inc., or Merger Sub, and Korro Bio OpCo, Inc., or Legacy Korro.</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 business combination between Frequency and Legacy Korro was effected through the merger of Merger Sub with and into Legacy Korro, with Legacy Korro surviving as a wholly owned subsidiary of Frequency. On the Closing Date, Frequency changed its name to Korro Bio, Inc.</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“Company,” “we,” “our” and “us” refer, collectively, to Korro Bio, Inc., a Delaware corporation, and its consolidated subsidiaries (including Legacy Korro).</w:t>
      </w:r>
    </w:p>
    <w:p>
      <w:pPr>
        <w:spacing w:after="0" w:line="162" w:lineRule="exact"/>
        <w:rPr>
          <w:sz w:val="20"/>
          <w:szCs w:val="20"/>
          <w:color w:val="auto"/>
        </w:rPr>
      </w:pPr>
    </w:p>
    <w:p>
      <w:pPr>
        <w:jc w:val="both"/>
        <w:ind w:left="120" w:right="260" w:firstLine="44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and/or incorporates by reference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97" w:lineRule="exact"/>
        <w:rPr>
          <w:sz w:val="20"/>
          <w:szCs w:val="20"/>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Merger;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 and ability to reach data inflection points;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other expenses;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impact of, regulatory requirements, obligations and restrictions on our business and operations;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 including our ability to obtain and maintain rights to the technologies required to develop and commercialize our product candidates;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the impact on our competitive position of rival products and product candidates and our ability to meet such competition;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or the document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prospectus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our period filings with the SEC. Our SEC filings are available publicly on the SEC’s website at.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82"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spacing w:after="0" w:line="200" w:lineRule="exact"/>
        <w:rPr>
          <w:sz w:val="20"/>
          <w:szCs w:val="20"/>
          <w:color w:val="auto"/>
        </w:rPr>
      </w:pPr>
    </w:p>
    <w:p>
      <w:pPr>
        <w:spacing w:after="0" w:line="2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320" w:top="482"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creating transformative genetic medicines targeted to treat both rare and highly prevalent diseases. Our initial focus is to bring additional precision and tunability to genetic medicines by developing therapies based on editing RNA instead of DNA, which is expected to lead to an improved safety profile and increased clinical activity and specificity.</w:t>
      </w:r>
    </w:p>
    <w:p>
      <w:pPr>
        <w:spacing w:after="0" w:line="176"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We are generating a portfolio of differentiated programs that are designed to harness the body’s natural RNA editing process to effect a precise yet transient single base edit.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RNA editing technology with precedented delivery modalities, manufacturing know-how, and established regulatory pathways for other approved oligonucleotide drugs. However, the scientific evidence to support the feasibility of developing product candidates using our RNA editing technology is both preliminary and limited. Moreover, regulators have not yet established any definitive guidelines related to overall development considerations for RNA editing therapies and no clinical data has been generated to date.</w:t>
      </w:r>
    </w:p>
    <w:p>
      <w:pPr>
        <w:spacing w:after="0" w:line="192"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The versatility of RNA editing combined with our Oligonucleotide Promoted Editing of RNA, or OPERA, platform broadens the therapeutic target space significantly. The pipeline chart below demonstrates the breadth of indications and applications enabled by our platform, with an initial focus on four programs that are all wholly-owned. In addition, we have two other wholly-owned programs not reflected in the pipeline chart below: one for an undisclosed target for sAH, and one for a kinase target for cardiometabolic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 xml:space="preserve">While our approach can be used to repair pathogenic single nucleotide variants, or SNVs, as demonstrated by our most advanced program, our Alpha-1 Antitrypsin Deficiency, or AATD, product candidate, it can also engineer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SNVs and change amino acids on proteins to endow them with desired properties while preserving their broader functional capabilities, as exemplified by three of our other programs (severe Alcoholic Hepatitis, amyotrophic lateral sclerosis, pain). In preclinical studies, we have demonstrated that single RNA changes can disrupt protein-protein interactions, prevent protein aggregation, selectively modulate ion channels and activate kinases. These modification approaches can unlock validated target classes that have historically been difficult to drug, enabling us to pursue a broad range of diseases traditionally out-of-scope for other genetic medicine approaches and current traditional drug modalities.</w:t>
      </w:r>
    </w:p>
    <w:p>
      <w:pPr>
        <w:spacing w:after="0" w:line="189"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Our most advanced program is a product candidate for AATD where, using our RNA editing approach, we are repairing a pathogenic variant on RNA. Our product candidate has the potential to be disease-modifying and</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82"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9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provide a differentiated therapeutic option. AATD is an inherited genetic disorder that can cause severe progressive lung and liver disease due to a lack of normal alpha-1 antitrypsin protein, or A1AT, caused by SNV mutations in the SERPINA1 gene. There are an estimated 3.4 million individuals with deficiency allele combinations worldwide. Our product candidate has the potential to elevate the standard of care and expand the number of patients on treatment and potential to be a leader with a large market opportunity worldwide.</w:t>
      </w:r>
    </w:p>
    <w:p>
      <w:pPr>
        <w:spacing w:after="0" w:line="18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AATD product candidate is a proprietary oligonucleotide that utilizes an established lipid nanoparticle, or LNP, based delivery system administered intravenously to transiently restore production of normal A1AT in liver hepatocytes. By correcting the pathogenic G to A SNV in the SERPINA1 gene, Korro Bio aims to bring individuals with the Z mutation to a phenotype where over 50% of RNA has been corrected to produce normal A1AT protein, preserving lung and liver function and preventing further damage. Based on the totality of the preclinical data generated to date, Korro Bio intends to nominate its development candidate in the second half of 2023.</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development candidate will then be tested in studies to enable a regulatory filing in the second half of 2024.</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following this prospectus summary. These risks include the following, among others:</w:t>
      </w:r>
    </w:p>
    <w:p>
      <w:pPr>
        <w:spacing w:after="0" w:line="81" w:lineRule="exact"/>
        <w:rPr>
          <w:sz w:val="20"/>
          <w:szCs w:val="20"/>
          <w:color w:val="auto"/>
        </w:rPr>
      </w:pPr>
    </w:p>
    <w:p>
      <w:pPr>
        <w:ind w:left="1240" w:right="34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losses for the foreseeable future and may never achieve or maintain profitability.</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cash runway and ability to reach data inflection points are based on numerous assumptions that may prove to be untrue.</w:t>
      </w:r>
    </w:p>
    <w:p>
      <w:pPr>
        <w:spacing w:after="0" w:line="67" w:lineRule="exact"/>
        <w:rPr>
          <w:rFonts w:ascii="Times New Roman" w:cs="Times New Roman" w:eastAsia="Times New Roman" w:hAnsi="Times New Roman"/>
          <w:sz w:val="18"/>
          <w:szCs w:val="18"/>
          <w:color w:val="auto"/>
        </w:rPr>
      </w:pPr>
    </w:p>
    <w:p>
      <w:pPr>
        <w:ind w:left="1240" w:right="7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raise capital sooner than anticipated and our exposure to certain contingent liabilities and contractual obligations may be greater than anticipated.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become profitable.</w:t>
      </w:r>
    </w:p>
    <w:p>
      <w:pPr>
        <w:spacing w:after="0" w:line="130" w:lineRule="exact"/>
        <w:rPr>
          <w:rFonts w:ascii="Times New Roman" w:cs="Times New Roman" w:eastAsia="Times New Roman" w:hAnsi="Times New Roman"/>
          <w:sz w:val="18"/>
          <w:szCs w:val="18"/>
          <w:color w:val="auto"/>
        </w:rPr>
      </w:pPr>
    </w:p>
    <w:p>
      <w:pPr>
        <w:ind w:left="1240" w:right="6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will be forced to delay, reduce, eliminate or prioritize among our research and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1240" w:right="80" w:hanging="523"/>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 editing field and RNA editing in particular is relatively new and is evolving rapidly. We are very early in our development efforts and may not be successful in identifying and developing product candidates. It will be many years before we or our collaborators commercialize a product candidate or generate any revenues, if ever. Additionally, other gene editing technologies may be discovered that provide significant advantages over RNA editing, which could materially harm our business.</w:t>
      </w:r>
    </w:p>
    <w:p>
      <w:pPr>
        <w:spacing w:after="0" w:line="85" w:lineRule="exact"/>
        <w:rPr>
          <w:rFonts w:ascii="Times New Roman" w:cs="Times New Roman" w:eastAsia="Times New Roman" w:hAnsi="Times New Roman"/>
          <w:sz w:val="18"/>
          <w:szCs w:val="18"/>
          <w:color w:val="auto"/>
        </w:rPr>
      </w:pPr>
    </w:p>
    <w:p>
      <w:pPr>
        <w:ind w:left="1240" w:right="1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 editing is a novel technology that is not yet clinically validated for human therapeutic use. The approaches we take to discover and develop novel therapeutics are unproven and may never lead to marketable products.</w:t>
      </w:r>
    </w:p>
    <w:p>
      <w:pPr>
        <w:spacing w:after="0" w:line="67"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preclinical studies and clinical trials may not be successful. If we are unable to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fail in preclinical or clinical development or be delayed to a point where they do not become commercially viable.</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82"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60" w:hanging="523"/>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protect intellectual property rights related to any of our product candidates, development and commercialization of our product candidates may be adversely affected.</w:t>
      </w:r>
    </w:p>
    <w:p>
      <w:pPr>
        <w:spacing w:after="0" w:line="67" w:lineRule="exact"/>
        <w:rPr>
          <w:rFonts w:ascii="Times New Roman" w:cs="Times New Roman" w:eastAsia="Times New Roman" w:hAnsi="Times New Roman"/>
          <w:sz w:val="18"/>
          <w:szCs w:val="18"/>
          <w:color w:val="auto"/>
        </w:rPr>
      </w:pPr>
    </w:p>
    <w:p>
      <w:pPr>
        <w:jc w:val="both"/>
        <w:ind w:left="1240" w:right="480" w:hanging="523"/>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the market price of the common stock may drop following the Merger and an active trading market for our common stock may not develop and our stockholders may not be able to resell their shares of common stock for a profit, if at all.</w:t>
      </w:r>
    </w:p>
    <w:p>
      <w:pPr>
        <w:spacing w:after="0" w:line="81" w:lineRule="exact"/>
        <w:rPr>
          <w:rFonts w:ascii="Times New Roman" w:cs="Times New Roman" w:eastAsia="Times New Roman" w:hAnsi="Times New Roman"/>
          <w:sz w:val="18"/>
          <w:szCs w:val="18"/>
          <w:color w:val="auto"/>
        </w:rPr>
      </w:pPr>
    </w:p>
    <w:p>
      <w:pPr>
        <w:ind w:left="1240" w:right="500" w:hanging="523"/>
        <w:spacing w:after="0" w:line="312"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charter documents and under Delaware law could make an acquisition of our company more difficult and may discourage any takeover attempts that stockholders may consider favorable, and may lead to entrenchment of management.</w:t>
      </w:r>
    </w:p>
    <w:p>
      <w:pPr>
        <w:spacing w:after="0" w:line="45" w:lineRule="exact"/>
        <w:rPr>
          <w:rFonts w:ascii="Times New Roman" w:cs="Times New Roman" w:eastAsia="Times New Roman" w:hAnsi="Times New Roman"/>
          <w:sz w:val="17"/>
          <w:szCs w:val="17"/>
          <w:color w:val="auto"/>
        </w:rPr>
      </w:pPr>
    </w:p>
    <w:p>
      <w:pPr>
        <w:ind w:left="1240" w:right="140" w:hanging="523"/>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principal stockholders have the ability to control or significantly influence all matters submitted to our stockholders for approval.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One Kendall Square, Building 600-700, Suite 6-401, Cambridge, MA 02139, and our telephone number is (617) 468-1999. Our website address is www.korrobio.com. We do not incorporate the information on or accessible through our website into this prospectus, and you should not consider any information on, or that can be accessed through, our website as part of this prospectus. Our common stock is listed on Nasdaq under the symbol “KRRO.”</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under the JOBS Act until the earliest of (a) the last day of our first fiscal year following the fifth anniversary of CMLS’s IPO,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83"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spacing w:after="0" w:line="187"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82"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83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28333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840"/>
          </w:cols>
          <w:pgMar w:left="320" w:top="482" w:right="739" w:bottom="1440" w:gutter="0" w:footer="0" w:header="0"/>
        </w:sect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Korro Bio, Inc.</w:t>
      </w:r>
    </w:p>
    <w:p>
      <w:pPr>
        <w:spacing w:after="0" w:line="200"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spacing w:after="0" w:line="7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2,077,864 shares of common stock</w:t>
      </w:r>
    </w:p>
    <w:p>
      <w:pPr>
        <w:spacing w:after="0" w:line="200" w:lineRule="exact"/>
        <w:rPr>
          <w:sz w:val="20"/>
          <w:szCs w:val="20"/>
          <w:color w:val="auto"/>
        </w:rPr>
      </w:pPr>
    </w:p>
    <w:p>
      <w:pPr>
        <w:sectPr>
          <w:pgSz w:w="11900" w:h="16838" w:orient="portrait"/>
          <w:cols w:equalWidth="0" w:num="2">
            <w:col w:w="4020" w:space="320"/>
            <w:col w:w="6500"/>
          </w:cols>
          <w:pgMar w:left="320" w:top="482" w:right="7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w:t>
      </w:r>
    </w:p>
    <w:p>
      <w:pPr>
        <w:spacing w:after="0" w:line="189"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KRRO</w:t>
      </w:r>
    </w:p>
    <w:p>
      <w:pPr>
        <w:spacing w:after="0" w:line="200"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selling stockholders will offer the shares of common stock offered by this prospectus at the prevailing market prices or at privately negotiated prices.</w:t>
      </w:r>
    </w:p>
    <w:p>
      <w:pPr>
        <w:spacing w:after="0" w:line="187"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Times New Roman" w:cs="Times New Roman" w:eastAsia="Times New Roman" w:hAnsi="Times New Roman"/>
          <w:sz w:val="18"/>
          <w:szCs w:val="18"/>
          <w:color w:val="auto"/>
        </w:rPr>
        <w:t>You should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for a discussion of factors to consider carefully before deciding to invest in shares of our common stock.</w:t>
      </w:r>
    </w:p>
    <w:p>
      <w:pPr>
        <w:spacing w:after="0" w:line="158" w:lineRule="exact"/>
        <w:rPr>
          <w:sz w:val="20"/>
          <w:szCs w:val="20"/>
          <w:color w:val="auto"/>
        </w:rPr>
      </w:pPr>
    </w:p>
    <w:p>
      <w:pPr>
        <w:sectPr>
          <w:pgSz w:w="11900" w:h="16838" w:orient="portrait"/>
          <w:cols w:equalWidth="0" w:num="2">
            <w:col w:w="3620" w:space="720"/>
            <w:col w:w="6500"/>
          </w:cols>
          <w:pgMar w:left="320" w:top="482"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212.</w:t>
      </w:r>
    </w:p>
    <w:p>
      <w:pPr>
        <w:spacing w:after="0" w:line="34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82" w:right="7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i w:val="1"/>
          <w:iCs w:val="1"/>
          <w:color w:val="auto"/>
        </w:rPr>
        <w:t>On November 3, 2023, we completed the business combination with the privately held Delaware corporation, Korro Bio, Inc., or Legacy Korro, in accordance with the terms of the Agreement and Plan of Merger dated as of July 14, 2023, or the Merger Agreement, among our company, Legacy Korro and a wholly-owned merger subsidiary. We refer to this business combination throughout these Risk Factors as the Merger. Immediately after the Merger the former Legacy Korro securityholders owned approximately 91% of our fully diluted common stock, and our pre-Merger securityholders owned the remaining approximately 9%. As a result of the Merger, our business is now substantially comprised of the business of Legacy Korro, and although we are considered the legal acquiror of Legacy Korro, for accounting purposes, Legacy Korro is considered to have acquired our company in the Merger. Consequently, the Merger is accounted for as a reverse recapitalization. Upon completion of the Merger, we changed our name from “Frequency Therapeutics, Inc.” to “Korro Bio, Inc.,” our common stock began trading on The Nasdaq Capital Market under a new ticker symbol “KRRO” on November 6, 2023 and our financial statements became those of Legacy Korro.</w:t>
      </w:r>
    </w:p>
    <w:p>
      <w:pPr>
        <w:spacing w:after="0" w:line="188" w:lineRule="exact"/>
        <w:rPr>
          <w:sz w:val="20"/>
          <w:szCs w:val="20"/>
          <w:color w:val="auto"/>
        </w:rPr>
      </w:pPr>
    </w:p>
    <w:p>
      <w:pPr>
        <w:ind w:left="120" w:right="52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section, the words “we,” “us,” “our,” the “Company,” and “Korro Bio” refer to Korro Bio, Inc. and its consolidated subsidiaries following completion of the Merger.</w:t>
      </w:r>
    </w:p>
    <w:p>
      <w:pPr>
        <w:spacing w:after="0" w:line="158"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When determining whether to invest, you should also refer to the other information contained in this prospectus, including our financial statements and the related notes thereto, and the other financial information concerning us included elsewhere in this prospectus.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Need for Capital</w:t>
      </w:r>
    </w:p>
    <w:p>
      <w:pPr>
        <w:spacing w:after="0" w:line="117"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$22.0 million, $58.0 million, $42.0 million, and $55.7 million for the years ended December 31, 2021 and 2022, and the nine months ended September 30, 2022 and 2023, respectively. As of September 30, 2023, we had an accumulated deficit of $157.6 million. We have financed our operations primarily through private placements of our preferred stock and more recently, common stock in the pre-closing financing that closed immediately prior to the Merger. Substantially all of our losses have resulted from expenses incurred in connection with our research and development and from general and administrative costs associated with our operations. We expect to continue to incur significant expenses, increasing operating losses, and negative operating cash flows for the foreseeable future. The net losses we incur may fluctuate significantly from quarter to quarter. We anticipate that our expenses will increase substantially if and as we:</w:t>
      </w:r>
    </w:p>
    <w:p>
      <w:pPr>
        <w:spacing w:after="0" w:line="94"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current research programs and preclinical development of any product candidates we may identify;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product candidates we may identify;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Oligonucleotide Promoted Editing of RNA, or OPERA, our RNA editing platform;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intellectual property portfolio;</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may develop;</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therapies for which we may obtain marketing approval;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clinical and commercial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decide to do so, build and maintain commercial-scale current Good Manufacturing Practices, or cGMP, manufacturing facility;</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interruptions due to global pandemics, such as the recent COVID-19 pandemic, or other events unrelated to our business such as the Russian invasion of Ukraine or Israeli-Hamas conflict that could result in delays in preclinical testing and clinical trials or interruptions in the supply chain;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initiated clinical development of any potential product candidate and expect that it will be many years, if ever, before we have a RNA editing therapy ready for commercialization. To become and remain profitable, we must develop and, either directly or through collaborators, eventually commercialize a therapy or therapies with market potential. This will require us to be successful in a range of challenging activities, including identifying product candidates, completing preclinical studies and clinical trials of product candidates, obtaining marketing approval for these product candidates, manufacturing, marketing and selling those therapies for which we may obtain marketing approval and satisfying any post-marketing requirements. We may never succeed in these activities and, even if we do, may never generate revenues that are significant or large enough to achieve profitability.</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have transitioned from discovery, research and development to early preclinical development for our most advanced product candidate. Because of the numerous risks and uncertainties associated with developing oligonucleotide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business or continue our operations. A decline in our value could also cause you to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history of operating losses and negative cash flows from operations combined with our anticipated use of cash to fund operations raised substantial doubt about our ability to continue as a going concern beyond the 12-month period from the issuance date of our audited financial statements for year ended December 31, 2022.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recently received $117.3 million from the private placement that closed immediately prior the Merger, or the Pre-Closing Financing, and now expect that our cash, cash equivalents and short-term investments outstanding as of September 30, 2023, together with the proceeds from the Pre-Closing Financing and our predecessor’s net cash from the Merger will be sufficient to fund our operating expenses and capital expenditure requirements at least into 2026, our future viability as an ongoing business is dependent on our ability to generate cash from our operating activities or to raise additional capital to finance our operations. There is no assurance that we will succeed in obtaining sufficient funding on terms acceptable to us to fund continuing operations, if at all. The perception that we might be unable to continue as a going concern may also make it more difficult to obtain financing for the continuation of our operations on terms that are favorable to us, or at all, and could result in the loss of confidence by investors and employees. Our financial statements do not include any adjustments that might result from the outcome of this uncertainty. If we are unable to continue as a going concern, we may have to liquidate our assets and may receive less than the value at which those assets are carried on our financial statements, and it is likely that our investors will lose all or a part of their investment.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many years, if ever. Our ability to generate future revenues from product sales depends heavily on our, or our collaborators’, ability to successfully:</w:t>
      </w:r>
    </w:p>
    <w:p>
      <w:pPr>
        <w:spacing w:after="0" w:line="85"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and successfully complete research and development of such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product candidates for which we complete clinical trials;</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we may obtain regulatory and marketing approval by establishing a sales force, marketing and distribution infrastructure, or alternatively, collaborating with a commercialization partner;</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any product candidates for which we may obtain regulatory and marketing approval;</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may develop;</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performing our obligations in such collaborations;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market acceptance by physicians, patients, healthcare payors, and others in the medical community;</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and other proprietary rights, including patents, trade secrets and know-how;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 party intellectual property claims of infringement, misappropriation or other violation;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top talent and retain qualified personnel.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expenses could increase beyond expectations if we are required by the U.S. Food and Drug Administration, or the FDA, the European Medicines Agency, or the EMA, or other regulatory authorities to perform clinical and other studies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will be forced to delay, reduce, eliminate or prioritize among our research and development programs or future commercialization efforts.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identify, continue the research and development of, initiate preclinical studies and clinical trials of, and seek marketing approval for, product candidates. Because we have limited financial and managerial resources, we have prioritized our research programs and lead optimization efforts in specific indications among many potential options. Specifically, our initial development programs target liver and central nervous systems indications, amongst others. As a result of this prioritization, we may forego or delay pursuit of opportunities with other product candidates or for other indications that later prove to have greater clinical or commercial potential and we may need to reprioritize our focus in the future.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therapies.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2023, our cash and cash equivalents and short-term investments were $46.1 million, excluding restricted cash,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$51.3 million, including restricted cash. We had a cash balance of approximately $170.0 million at the closing of the Merger and the Pre-Closing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and believe our existing cash and cash equivalents and short-term investments will be sufficient to fund our operating expenses and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expenditure requirements through several value-creating milestones and into 2026. However, our operating plan may change as a result of factors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currently unknown, and expectations regarding our cash runway and ability to reach data inflection points are based on numerous assumptions that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prove to be untrue. For example, our assumptions relating to the amounts of Frequency’s cash available to us after the closing of the Merger, including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that may be required to negotiate early lease terminations and costs associated with Frequency’s ongoing litigation, may prove to be incorrect.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we may be required to raise capital sooner than anticipated and our exposure to certain contingent liabilities and contractual obligations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be greater than anticipated. Our future capital requirements will depend on many other factors, including those discussed in the risk factor entitled </w:t>
      </w:r>
      <w:r>
        <w:rPr>
          <w:rFonts w:ascii="Times New Roman" w:cs="Times New Roman" w:eastAsia="Times New Roman" w:hAnsi="Times New Roman"/>
          <w:sz w:val="18"/>
          <w:szCs w:val="18"/>
          <w:i w:val="1"/>
          <w:iCs w:val="1"/>
          <w:color w:val="auto"/>
        </w:rPr>
        <w:t>“We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have incurred significant losses since inception. We expect to incur losses for the foreseeable future and may never achieve or maintain profitability.”</w:t>
      </w:r>
    </w:p>
    <w:p>
      <w:pPr>
        <w:spacing w:after="0" w:line="20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any product candidates we may develop. We cannot be certain that additional funding will be available on acceptable terms or at all. We have no committed source of additional capital and, if we are unable to raise additional capital in sufficient amounts or on terms acceptable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us, we may have to significantly delay, scale back or discontinue the development or commercialization of any product candidates or other research and development initiatives. We could be required to seek collaborators for potential product candidates earlier than we would otherwise plan or on terms that are less favorable than might otherwise be available. We could also be required to relinquish or license our rights to product candidates on unfavorable terms in certain markets where we otherwise would seek to pursue development or commercialization ourselves.</w:t>
      </w:r>
    </w:p>
    <w:p>
      <w:pPr>
        <w:spacing w:after="0" w:line="2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we expect to finance our capital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 In addition, if we raise funds through additional license and collaboration agreements, strategic alliances or licensing arrangements with third parties, we may have to relinquish valuable rights to our intellectual property, technologies, future revenue streams, research programs or product candidates we may develop, or we may have to grant licenses on terms that may not be favorable.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may make it difficult for you to evaluate the success of our business to date and to assess our future viability.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business has now become that of Legacy Korro, an early-stage company founded in September 2018 and which commenced operations in October 2019. Prior to the Merger, Legacy Korro’s operations (which are now ours) were limited to organizing and staffing, business planning, raising capital, acquiring and developing our platform and technology and identifying and beginning to advance preclinical testing of potential product candidates. All of our current programs are still in the research or preclinical stage of development and their risk of failure is high. We have not yet demonstrated an ability to initiate or successfully complete any clinical trials, including large-scale, pivotal clinical trials, obtain marketing approvals, manufacture a commercial-scale therapy, arrange for a third party to do so on our behalf or conduct sales and marketing activities necessary for successful commercialization. Typically, it takes about 10 to 15 years to develop a new therapy from the time it is discovered to when it is available for treating patients.</w:t>
      </w:r>
    </w:p>
    <w:p>
      <w:pPr>
        <w:spacing w:after="0" w:line="192"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Legacy Korro’s limited operating history, particularly in light of the rapidly evolving gene editing field, may make it difficult to evaluate our technology and industry and predict our future performance. Accordingly, any assessment of our future success or viability subject to significant uncertainty. We will encounter risks and difficulties frequently experienced by very early-stage companies in rapidly evolving fields. If we do not address these risks successfully, our business will suffer.</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or NOL, carryforwards and certain other tax attributes may be limited.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losses and we may never achieve profitability. As of December 31, 2022, we had federal and state NOLs of $72.1 million and $70.3 million, respectively. Under current law, our federal NOLs generated in taxable years ending after December 31, 2017, may be carried forward indefinitely,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but the deductibility of such federal NOLs is limited to 80% of our taxable income annually for tax years beginning after December 31, 2020. Federal NOLs generated in taxable years ending on or prior to December 31, 2017, however, have a 20-year carryforward period, but are not subject to the 80% limitation. Our state NOLs expire at various dates from 2038 through 2042. As of December 31, 2022, we had federal research and development tax credit carryforwards of $3.5 million that expire at various dates from 2040 through 2042. In addition, as of December 31, 2022, we had state research and development tax credit carryforwards of $2.6 million that expire at various dates from 2034 through 2037.</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one or more shareholders or groups of shareholders who own at least 5% of the corporation’s equity increasing their equity ownership in the aggregate by more than 50 percentage points (by value) over a rolling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We have not conducted a formal study to assess whether a change of control has occurred or whether there have been multiple changes of control since inception. In addition, we may experience ownership changes in the future as a result of future securities offering or subsequent shifts in our stock ownership, some of which are outside of our control. In particular, the Merger and the Pre-Closing Financing, if consummated, may constitute an ownership change within the meaning of Section 382 of the Code, which could eliminate or otherwise substantially limit our ability to use our NOLs and tax credit carryforwards. As a result, if we earn net taxable income in the future, our ability to use our pre-change NOLs or other pre-change tax attributes to offset U.S. federal taxable income or income taxes may be subject to limitations, which could potentially result in increased future tax liability to us. Additional limitations on our ability to utilize our NOLs to offset future taxable income may arise as a result of our corporate structure whereby NOLs generated by our subsidiary may not be available to offset taxable income earned by our subsidiary.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Discovery, Development and Commercialization</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gene editing field and RNA editing in particular is relatively new and is evolving rapidly. We are very early in our development efforts and may not be successful in identifying and developing product candidates. It will be many years before we or our collaborators commercialize a product candidate or generate any revenues, if ever. Additionally, other gene editing technologies may be discovered that provide significant advantages over RNA editing, which could materially harm our business.</w:t>
      </w:r>
    </w:p>
    <w:p>
      <w:pPr>
        <w:spacing w:after="0" w:line="7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We are very early in our development efforts and have focused our research and development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82"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efforts to date on developing OPERA, our RNA editing platform, and identifying our initial targeted disease indications. Although we believe we can demonstrate many of the key advantages of RNA editing, because we are very early in our development efforts, we are not yet certain of the results we may achieve, which may be important for registration and commercialization of our products. Such uncertainties include, but are not limited to, the level of editing efficiency needed in a target tissue type to achieve a clinical benefit, and associated safety of our edits in humans. We have also not yet shown that preclinical editing activity can result in clinically important effects, nor that the data generated by our preclinical studies can translate into positive results in clinical trials.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All of our product development programs are still in the research or preclinical stage of development. Our research methodology may be unsuccessful in identifying product candidates, our product candidates may be shown to have harmful side effects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pharmacological properties ascribed to the product candidates we are testing in preclinical studies may not be positively demonstrated in clinical trials in patients, and they may interact with human biological systems in unforeseen, ineffective or harmful ways. If our product candidates prove to be ineffective, unsafe or commercially unviable, OPERA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 technologies, and new products and technologies that may enter the market, may expose us to additional financial risks and make it more difficult to raise additional capital if we are not successful in developing one or more product candidates that receive regulatory approval. Our ability to generate product revenue, which we do not expect will occur for many years, if ever, will depend heavily on the successful development and eventual commercialization of any product candidates we may discover, which may never occur. We currently generate no revenue from sales of any product, and we may never be able to develop or commercialize a marketable product.</w:t>
      </w:r>
    </w:p>
    <w:p>
      <w:pPr>
        <w:spacing w:after="0" w:line="188"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although we believe OPERA, our RNA editing platform, will position us to expand our portfolio of product candidates beyond the initial product candidates we may develop, we have not yet successfully developed any product candidate and our ability to expand our portfolio may never materialize.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Commencing clinical trials in the United States is also subject to acceptance by the FDA of any future investigational new drug, or IND, applications and finalization of trial designs based on discussions with the FDA and other regulatory authorities.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any clinical endpoints selected, which may require us to complete additional studies or trials or impose stricter approval conditions than we expect. There are equivalent processes and risks applicable to clinical trial applications, or CTAs, in other countries, including in Europe, the UK and Australia.</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our product candidates in the United States or any other jurisdiction, if at all, and any such approval may be for a narrower indication than we seek. In addition, clinical trials conducted in one country may not be accepted by regulatory authorities in other countries, and regulatory approval in one country does not guarantee regulatory approval in any other country. We may conduct one or more of our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our development of the applicable product candidates. Similarly, marketing approval by the FDA in the United States, if obtained, does not ensure approval by regulatory authorities in other countries or jurisdictions. Approval processes vary among countries and can involve additional product candidate testing and validation and additional administrative review periods.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Commercialization of any product candidates we may develop will also require obtaining manufacturing supply, capacity and expertise; building of a commercial organization; and significant marketing efforts. If we do not successfully commercialize any product candidates we may develop, we could experience a material harm to our business.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RNA editing is a novel technology that is not yet clinically validated for human therapeutic use. The approaches we take to discover and develop novel therapeutics are unproven and may never lead to marketable products.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focused on developing therapies based on RNA editing. Although there have been significant advances in the field of gene editing in recent years, RNA editing technologies are new and largely unproven. The technologies that we have developed have not yet been clinically tested, nor are we aware of any clinical trials for safety or efficacy having been completed by third parties using RNA editing or similar technologies. The scientific evidence to support the feasibility of developing product candidates based on these technologies is both preliminary and limited. Successful development of product candidates by us will require solving a number of issues, including optimizing the efficiency and specificity of such product candidates, and ensuring the therapeutic selectivity of such product candidates. There can be no assurance we will be successful in solving any or all of these issues.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concentrated our research efforts to date on preclinical work to bring therapeutics to the clinic for our initial indications, and our future success is highly dependent on the successful development of OPERA, our RNA editing platform, as well as cellular delivery methods and therapeutic applications of that technology. While some of the existing, non-RNA editing, gene editing technologies developed by third parties have progressed to clinical trials, they continue to suffer from various limitations, and such limitations may affect our future success. While a number of clinical trials for oligonucleotide products conducted by other companies have not been successful, some have received regulatory approval. The pharmacological properties ascribed to the product candidates we are testing or will test in the future may not be positively demonstrated in clinical trials in patients, and they may interact with human biological systems in unforeseen, ineffective or harmful ways. If our product candidates prove to be ineffective, unsafe or commercially unviable, our OPERA platform and our pipeline would have little, if any, value, which would substantially harm our business, financial condition, results of operations and prospects. We may decide to alter or abandon our initial programs as new data becomes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Development activities in the field of RNA editing are currently subject to a number of risks related to the ownership and use of certain intellectual property rights that are subject to patent reexamination and inter partes proceedings in the United States and opposition proceedings in Europe. For additional information regarding the risks that may apply to our and our licensors’ intellectual property rights, see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Intellectual Property</w:t>
      </w:r>
      <w:r>
        <w:rPr>
          <w:rFonts w:ascii="Times New Roman" w:cs="Times New Roman" w:eastAsia="Times New Roman" w:hAnsi="Times New Roman"/>
          <w:sz w:val="18"/>
          <w:szCs w:val="18"/>
          <w:color w:val="auto"/>
        </w:rPr>
        <w:t>” appearing elsewhere in these Risk Factors for more information.</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preclinical studies and clinical trials may not be successful. If we are unable to commercialize our product candidates or experiences significant delays in doing so, our business will be materially harmed.</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very early in our development of product candidates and have focused our efforts to date on platform development, discovery, research, and preclinical development. Currently, all of our programs are still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in the research or preclinical stage of development. Our ability to generate product revenues, which we do not expect will occur for many years, if ever, will depend heavily on the successful development, marketing approval and eventual commercialization of our product candidates, which may never occur. We have not yet generated revenue from product sales or otherwise, and we may never be able to develop or commercialize a marketable product.</w:t>
      </w:r>
    </w:p>
    <w:p>
      <w:pPr>
        <w:spacing w:after="0" w:line="15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CTAs in other countries, including countries in the European Union, or EU.</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Commercialization of any product candidates we may develop will require preclinical and clinical development; regulatory and marketing approval in multiple jurisdictions, including by the FDA and the EMA; manufacturing supply, capacity and expertise; a commercial organization; and significant marketing efforts. The success of our product candidates will depend on many factors, including the following:</w:t>
      </w:r>
    </w:p>
    <w:p>
      <w:pPr>
        <w:spacing w:after="0" w:line="81" w:lineRule="exact"/>
        <w:rPr>
          <w:sz w:val="20"/>
          <w:szCs w:val="20"/>
          <w:color w:val="auto"/>
        </w:rPr>
      </w:pPr>
    </w:p>
    <w:p>
      <w:pPr>
        <w:ind w:left="1080" w:right="3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of our planned clinical trials or future clinical trials for any product candidates we may develop;</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GCPs, current Good Laboratory Practices, or GLPs, and any additional regulatory requirements from foreign regulatory authorities;</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and effectiveness and an acceptable risk-benefit profile in the intended populations;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product candidates we may develop;</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any product candidates we may develop, if approved,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the product candidates we may develop, including method of administration, if and when approved, by patients, the medical community and third-party payors;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product candidates we may develop following approval;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by payors.</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any product candidates we may develop, which would materially harm our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82"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fail in preclinical or clinical development or be delayed to a point where they do not become commercially viable.</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are expensive, difficult to design and implement, can take many years to complete, are uncertain as to outcome, and the historical failure rate for drugs in preclinical and clinical development is high. For example, we depend on the availability of non-human primates to conduct certain preclinical studies. Over the past several years there has been an increasing global shortage of non-human primates available for drug development that has matured into an acute global supply chain issue. The supply of these non-human primates is currently constrained due to factors such as their limited worldwide availability, domestic regulatory restrictions and trade relations. If we are unable to obtain access to a sufficient supply of these non-human primates in a timely manner or at all, our timelines and our ability to complete preclinical testing and submit IND or CTA applications may be adversely affected.</w:t>
      </w:r>
    </w:p>
    <w:p>
      <w:pPr>
        <w:spacing w:after="0" w:line="17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81" w:lineRule="exact"/>
        <w:rPr>
          <w:sz w:val="20"/>
          <w:szCs w:val="20"/>
          <w:color w:val="auto"/>
        </w:rPr>
      </w:pPr>
    </w:p>
    <w:p>
      <w:pPr>
        <w:jc w:val="both"/>
        <w:ind w:left="1080" w:right="50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or clinical trials may produce negative or inconclusive results, including results that may not meet the level of significance or clinical benefit required by the FDA or other regulators, and we may decide, or regulators may require us, to conduct additional preclinical studies or clinical trials, or we may abandon projects that we had expected to be promising;</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INDs or comparable foreign applications or delays or failure in obtaining the necessary approvals from regulators or institutional review boards, or IRBs, in order to commence a clinical trial at a prospective trial site, or their suspension or termination of a clinical trial once commenced;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the FDA or comparable foreign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divergent views between FDA and other homologue regulatory authorities as to the objectives and/or design of the clinical trials required in support of marketing registration;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 obtaining or maintaining IRB approval of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or volunteers into clinical trials, and variability in the number and types of patients eligible for clinical trials;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open study sites, or enroll, treat, and monitor patients due to local restrictions, including as a result of COVID-19 or any other pandemic or other events, such as the Russian invasion of Ukraine or Israeli-Hamas conflict;</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and receiving regulatory approval for companion diagnostic tests, to the extent such tests are needed, to identify patients for our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for patients in clinical trials and substantial missing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future clinical trials may not confirm positive results, if any, from earlier preclinical studies and clinical trials;</w:t>
      </w:r>
    </w:p>
    <w:p>
      <w:pPr>
        <w:spacing w:after="0" w:line="130"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consistently manufacture, inadequate supply, or unacceptable quality of product candidate materials or other materials necessary for the conduct of our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8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side effects that may or may not be related to the product candidate being tested that are experienced by participants in our clinical trials or by individuals using drugs similar to our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disappointing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outcome of FDA or other regulatory agency inspection and review of a manufacturing or clinical trial site or other records relating to the clinical investigation;</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investigators, or collaboration partners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 including the imposition of additional regulatory oversight around manufacturing, preclinical, or clinical testing generally or with respect to our product candidates class, in particular;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do not successfully conduct clinical development, we will not be able to market and sell products derived from our product candidates and to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product candidates fails or is delayed to a point where such product candidate is no longer commercially viable, our business may be materially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clinical trials successfully due to various process-related factors that could negatively impact our business plans.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successful initiation and completion of any of our clinical trials, within timeframes consistent with our business plans, is dependent on various factors, which include, but are not limited to, our ability to:</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employees, contractors or consultants with the required level of knowledge and experience;</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in a timely manner, a sufficient number of patients necessary to conduct a clinical trial, which is a function of many factors, including the impact of the COVID-19 global pandemic, the proximity of participants to clinical sites, the size of the relevant population, the eligibility criteria for the trial, possible adverse effects from treatments, the existence of competing clinical trials, the involvement of patient advocacy groups, the availability of new or alternative treatments, lack of efficacy, personnel issues and ease of participation in our clinical trials;</w:t>
      </w:r>
    </w:p>
    <w:p>
      <w:pPr>
        <w:spacing w:after="0" w:line="88"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impact of the COVID-19 pandemic or other global health pandemics on our early-stage discovery efforts and clinical trials; open study sites, and enroll, treat, and monitor patients due to local restrictions implemented in response to remaining COVID-19 effects or other global health pandemics;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companion diagnostic tests for use with certain of our product candidates or identify partners with such expertise;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maintain a sufficient amount of clinical material, internally or through third parties;</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adherence to trial designs and protocols agreed upon and approved by regulatory authorities and applicable regulatory and legal guidelines;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appropriate pharmacovigilance measures in case of adverse effects emerging during a clinical trial;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trial designs and protocols approved by regulatory authorities without deficiencies;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effectively contract with (under reasonable terms), manage and work with investigators, institutions, hospitals and the CROs involved in the clinical trial;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266" w:lineRule="exact"/>
        <w:rPr>
          <w:sz w:val="20"/>
          <w:szCs w:val="20"/>
          <w:color w:val="auto"/>
        </w:rPr>
      </w:pPr>
    </w:p>
    <w:p>
      <w:pPr>
        <w:ind w:left="120" w:right="7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order to develop our product candidates, apply for regulatory approvals and commercialize our product candidates, we will need to develop, contract for, or otherwise arrange for the necessary manufacturing and supply capabilities. 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the coronavirus outbreak or other similar global disruptions has made access to our existing supply chain difficult and further supply chain disruptions could impact our business. Additionally, our cost of goods development is at an early stage. The actual cost to manufacture and process our product candidates could be greater than expected and could materially and adversely affect the commercial viability of our product candidates.</w:t>
      </w:r>
    </w:p>
    <w:p>
      <w:pPr>
        <w:spacing w:after="0" w:line="19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Moreover, we license the LNP technology used to deliver our AATD product candidate from a third party. Although our current partner, Genevant Sciences GmbH, or Genevant, is a well established leader in the LNP space, and our preclinical studies of this LNP delivery technology have shown improved dose-dependent efficacy with reduced clinical chemistry and adverse events, there is no guarantee that this will be replicated in clinical trials. There is also no guarantee that we will continue to source the LNP delivery system for our AATD product candidate from Genevant. The process of establishing and maintaining collaborative relationships and identifying and securing access to optimized delivery systems that are fit-for-purpose is difficult, time-consuming, and involves significant uncertainty. If the current arrangement with Genevant is terminated, our clinical development, manufacturing, or commercialization efforts for our AATD product candidate could be delayed or terminated, while we secure an alternative delivery system, which could have a material adverse impact on our clinical development plans and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manufacturing oligonucleotides is complex and we may encounter difficulties in production, particularly with respect to process development or scaling-up of our manufacturing capabilities.</w:t>
      </w:r>
    </w:p>
    <w:p>
      <w:pPr>
        <w:spacing w:after="0" w:line="5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process of manufacturing oligonucleotides is complex, highly-regulated and subject to multiple risks. The complex processes associated with the manufacture of our product candidates expose us to various manufacturing challenges and risks, which may include delays in manufacturing adequate supply of our product candidates, limits on our ability to increase manufacturing capacity, and the potential for product failure and product variation in quality that may interfere with preclinical studies and clinical trials, along with additional costs. We may also make changes to our manufacturing process or the delivery system we use at various points during development, and even after commercialization, for various reasons, such as optimizing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current or future clinical trials, or the performance of the product, once commercialized. In some circumstances, changes in the manufacturing or delivery system may require us to perform ex vivo comparability studies, and/or conduct animal studies, and to collect additional data from patients prior to undertaking more advanced clinical trials. For instance, changes in our manufacturing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or delivery system before or after commercialization, and such changes may require us to show the comparability of the resulting product to the product produced via earlier manufacturing processes and supplied or delivery system used in clinical studies. We may be required to collect additional preclinical and/or clinical data from any modified process prior to obtaining marketing approval for the product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product candidate.</w:t>
      </w:r>
    </w:p>
    <w:p>
      <w:pPr>
        <w:spacing w:after="0" w:line="39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Although we continue to build on our experience in manufacturing oligonucleotides, we have limited experience as a company manufacturing product candidates for commercial supply. We may never be successful in manufacturing product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Furthermore, compliance with cGMP requirements and other quality issues may arise during any internal efforts to scale-up manufacturing, and with our current or any future CMOs. If contaminants are discovered in our supply of our product candidates or in the manufacturing facilities of our CMOs, such manufacturing facilities may need to be closed for an extended period of time to investigate and remedy the contamination. We cannot assure you that any stability failures or other issues relating to the manufacture of our product candidates will not occur in the future. 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treatment of patients once approved, would be jeopardized.</w:t>
      </w:r>
    </w:p>
    <w:p>
      <w:pPr>
        <w:spacing w:after="0" w:line="293"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Because we have limited financial resources, we intend to focus on developing product candidates for specific indications that we identify as most likely to succeed, in terms of both regulatory approval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82"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we would have been more advantageous for us to retain sole development and commercialization rights to such product candidate.</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tested any of our proposed delivery methods or gene editing approaches in clinical trials and any favorable results we may have may not be predictive of results that may be observed in later preclinical studies or clinical trials.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scientific evidence to support the feasibility of developing product candidates using our RNA editing technology is both preliminary and limited. We have not tested any of our potential delivery modalities or gene editing approaches in clinical trials and any favorable results we may have may not be predictive of results that may be observed in later preclinical studies or clinical trials. For example, we may use LNPs or other delivery modalities to deliver our product candidates. While LNPs have been validated clinically to deliver oligonucleotides, such as siRNA, they have not been clinically proven to deliver oligonucleotides for RNA editing, such as our product candidates.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our RNA editing technology itself may lead to other issues, such as inability to deliver the desired efficacy or safety-related consequences as it is tested in clinical trials. We have not generated any clinical trial results to date. The design of a clinical trial can determine whether its results will support approval of a product candidate and flaws in the design of a clinical trial may not become apparent until the clinical trial is well advanced. Furthermore,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Many product candidates that initially showed promise in early stage testing for treating a variety of diseases have later been found to lack efficacy or to cause side effects that prevented further clinical development of the product candidates.</w:t>
      </w:r>
    </w:p>
    <w:p>
      <w:pPr>
        <w:spacing w:after="0" w:line="293" w:lineRule="exact"/>
        <w:rPr>
          <w:sz w:val="20"/>
          <w:szCs w:val="20"/>
          <w:color w:val="auto"/>
        </w:rPr>
      </w:pPr>
    </w:p>
    <w:p>
      <w:pPr>
        <w:ind w:left="120"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future product candidates may cause undesirable and unforeseen side effects or be perceived by the public as unsafe, which could delay or prevent their advancement into clinical trials or regulatory approval, limit the commercial potential or result in significant negative consequences.</w:t>
      </w:r>
    </w:p>
    <w:p>
      <w:pPr>
        <w:spacing w:after="0" w:line="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evaluated any product candidates in human clinical trials. Moreover, there have been only a limited number of clinical trials involving the use of gene editing technologies and none involving RNA editing technology similar to our technology. It is impossible to predict when, or if, any product candidates we may develop will prove safe in humans. In the genetic medicine field, there have been several significant adverse events from gene therapy treatments in the past, including reported cases of leukemia and death. There can be no assurance that RNA editing technologies will not cause undesirable side effects, such as lymphoma, leukemia, or other cancers, or other aberrantly functioning cells.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If any such adverse events occur, our future clinical trials could be suspended or terminated. If we are unable to demonstrate that any adverse events were caused by the administration process or related procedures, the FDA, the European Commission, the EMA or other regulatory authorities could order us to cease further development of, or deny approval of, any future product candidates for any or all targeted indications. Even if we can demonstrate that all future serious adverse events are not product-related, such occurrences could affect patient recruitment or the ability of enrolled patients to complete any future trial. Moreover, if we elect, or are required, to not initiate, delay, suspend or terminate any future clinical trial of any of our product candidates, the commercial prospects of such product candidates may be harmed and our ability to generate product revenues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from any of these product candidates may be delayed or eliminated. Any of these occurrences may harm our ability to develop other product candidates, and may adversely affect our business, financial condition, results of operations and prospects significantly.</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Additionally, if any of our future product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any of our future product candidates, several potentially significant negative consequences could result, including:</w:t>
      </w:r>
    </w:p>
    <w:p>
      <w:pPr>
        <w:spacing w:after="0" w:line="89"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329"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5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medicines we may develop, which may require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81" w:lineRule="exact"/>
        <w:rPr>
          <w:sz w:val="20"/>
          <w:szCs w:val="20"/>
          <w:color w:val="auto"/>
        </w:rPr>
      </w:pPr>
    </w:p>
    <w:p>
      <w:pPr>
        <w:ind w:left="1080" w:right="12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product candidates may be adversely affected if we are unable to appropriately select patients for enrollment in our clinical trials; and</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or obtain regulatory approval for companion diagnostic tests for our product candidates, or experience significant delays in doing so, our clinical trials may be delayed and our business could be materially harmed.</w:t>
      </w:r>
    </w:p>
    <w:p>
      <w:pPr>
        <w:spacing w:after="0" w:line="5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development programs for some of our product candidates contemplate the development of companion diagnostic tests, which are assays or tests to identify an appropriate patient population.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any future product candidates, we may be unable to generate any revenues.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any future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factors that we believe will materially affect market acceptance of our product candidates include:</w:t>
      </w:r>
    </w:p>
    <w:p>
      <w:pPr>
        <w:spacing w:after="0" w:line="13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regulatory approvals, the terms of any approvals and the countries in which approvals are obtained;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our products within acceptable quality standards;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 as demonstrated in clinical trials and as compared with alternative treatments,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seriousness and severity of any side effects;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candidates;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potentially new routes of administration and their risk tolerance as it relates to potentially serious side effects;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 and third-party payor coverage and adequate reimbursement;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diseases that product candidates we develop are intended to treat and the relative risks, benefits and costs of those treatments.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our estimates regarding the potential market size may be materially different from what we currently expect by the time we commence commercialization, which could result in significant changes in our business plan and may significantly harm our results of operations and financial condition.</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intensely competitive. If we are unable to compete effectively with existing drugs, new treatment methods and new technologies, we may be unable to commercialize successfully any drugs that we develop.</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81" w:lineRule="exact"/>
        <w:rPr>
          <w:sz w:val="20"/>
          <w:szCs w:val="20"/>
          <w:color w:val="auto"/>
        </w:rPr>
      </w:pPr>
    </w:p>
    <w:p>
      <w:pPr>
        <w:ind w:left="1080" w:right="5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greater financial, technical and human resources than we have at every stage of the discovery, development, manufacture and commercialization of products;</w:t>
      </w:r>
    </w:p>
    <w:p>
      <w:pPr>
        <w:spacing w:after="0" w:line="67"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designing and conducting preclinical studies and clinical trials, obtaining regulatory approvals, and manufacturing, marketing and selling pharmaceutical products;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are based on previously tested or accepted technologies;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been approved or are in late stages of development;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in our target markets with leading companies and research institutions.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will face intense competition from drugs that have already been approved and accepted by the medical community for the treatment of the conditions for which we may develop therapies.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over any products we are able to develop and commercialize based on many different factors, including:</w:t>
      </w:r>
    </w:p>
    <w:p>
      <w:pPr>
        <w:spacing w:after="0" w:line="67"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our products relative to alternative therapies,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with which our products can be administered and the extent to which patients accept relatively new routes of administration;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for these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coverage and higher levels of reimbursement;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position.</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our ability to execute on our business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any gene therapies for which we are able to successfully complete clinical development. Accordingly, sales of any future products will depend substantially, both domestically and internationally, on the extent to which the costs of any such products will be paid by health maintenance, managed care, pharmacy benefit and similar healthcare management organizations, or will be reimbursed by government authorities, private health coverage insurers and other third-party payors. Even if coverage is provided, the approved reimbursement amount may not be high enough to allow us to establish or maintain pricing sufficient to realize a sufficient return on is investment. If we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both the United States and globally. Outside the United States, international operations are generally subject to extensive governmental price controls and other market regulations, and we believe the increasing emphasis on cost-containment initiatives in the United States, the EU, Canada and other countries has and will continue to put pressure on the pricing and usage of therapeutics such as its product candidates. 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For an overview and discussion of the regulatory framework for pricing and reimbursement, see “</w:t>
      </w:r>
      <w:r>
        <w:rPr>
          <w:rFonts w:ascii="Times New Roman" w:cs="Times New Roman" w:eastAsia="Times New Roman" w:hAnsi="Times New Roman"/>
          <w:sz w:val="18"/>
          <w:szCs w:val="18"/>
          <w:i w:val="1"/>
          <w:iCs w:val="1"/>
          <w:color w:val="auto"/>
        </w:rPr>
        <w:t>Our Business—Government Regulation—Patients Rely on Insurance Coverage by Third-Party Payors (third-party payors include Medicare and Medicaid (government payors) and commercial insurance companies such as Blue Cross Blue Shield, Humana, Cigna, etc.) to Pay for Products.”</w:t>
      </w:r>
    </w:p>
    <w:p>
      <w:pPr>
        <w:spacing w:after="0" w:line="29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candidates we may develop are smaller than we believe they are, our potential revenues may be adversely affected, and our business may suffer.</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Additionally, our estimates regarding the potential market size may be materially different from what we currently expect by the time we commence commercialization. The number of patients in the United States, Europe, and elsewhere may turn out to be lower than expected, and patients may not be amenable to treatment with our product candidates, or may become increasingly difficult to identify or gain access to, all of which would adversely affect our business, financial condition, results of operations, and prospects.</w:t>
      </w:r>
    </w:p>
    <w:p>
      <w:pPr>
        <w:spacing w:after="0" w:line="29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conditions with significant unmet medical need. These designations include fast track, or breakthrough therapy, among others, and may confer benefits such as additional interaction with regulatory authorities, a potentially accelerated regulatory pathway and priority review. However, there can be no assurance that we will successfully obtain such designations for any product candidates. See “</w:t>
      </w:r>
      <w:r>
        <w:rPr>
          <w:rFonts w:ascii="Times New Roman" w:cs="Times New Roman" w:eastAsia="Times New Roman" w:hAnsi="Times New Roman"/>
          <w:sz w:val="18"/>
          <w:szCs w:val="18"/>
          <w:i w:val="1"/>
          <w:iCs w:val="1"/>
          <w:color w:val="auto"/>
        </w:rPr>
        <w:t>Our Business—Government Regulation—Expedited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Review Programs for Drugs</w:t>
      </w:r>
      <w:r>
        <w:rPr>
          <w:rFonts w:ascii="Times New Roman" w:cs="Times New Roman" w:eastAsia="Times New Roman" w:hAnsi="Times New Roman"/>
          <w:sz w:val="18"/>
          <w:szCs w:val="18"/>
          <w:color w:val="auto"/>
        </w:rPr>
        <w:t>” for more information regarding these designations. While such designations could expedite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or approval process, they generally do not change the standards for approval. Even if we obtain such designations for one or more of our product candidates, there can be no assurance that we will realize their intended benefits.</w:t>
      </w:r>
    </w:p>
    <w:p>
      <w:pPr>
        <w:spacing w:after="0" w:line="187"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In the future, we may also seek approval of product candidates under the FDA’s accelerated approval pathway or request priority review. There can be no assurance that FDA would allow any of the product candidates we may develop to proceed on an accelerated approval pathway or grant priority review,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EU, we may seek to participate in The PRIority Medicines, or PRIME scheme for our product candidates. The PRIME scheme is intended to encourage drug development in areas of unmet medical need and provides accelerated assessment of products representing substantial innovation, where the marketing authorization application will be made through the centralized procedure in the EU. There is no guarantee, however, that our product candidates would be deemed eligible for the PRIME scheme and even if we do participate in the PRIME scheme, where during the course of development a medicine no longer meets the eligibility criteria, support under the PRIME scheme may be withdrawn. PRIME eligibility does not change the standards for product approval, and there is no assurance that any such designation or eligibility will result in expedited review or approval. For more information regarding PRIME and the EU regulatory framework, see “</w:t>
      </w:r>
      <w:r>
        <w:rPr>
          <w:rFonts w:ascii="Times New Roman" w:cs="Times New Roman" w:eastAsia="Times New Roman" w:hAnsi="Times New Roman"/>
          <w:sz w:val="18"/>
          <w:szCs w:val="18"/>
          <w:i w:val="1"/>
          <w:iCs w:val="1"/>
          <w:color w:val="auto"/>
        </w:rPr>
        <w:t>Our Business—Government Regulation—Regulation 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United States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any future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5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Signature Bank and Silvergate Capital Corp. were each swept into receivership by the Federal Deposit Insurance Corporation and then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82"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Clinical Trials</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oligonucleotides, which are considered a relatively new class of drugs, there is increased risk that the outcome of our clinical trials will not be sufficient to obtain regulatory approval.</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FDA and comparable ex-U.S. regulatory agencies have relatively limited experience with oligonucleotides, which may increase the complexity, uncertainty and length of the regulatory review process for any future product candidates. Even though the FDA issued two draft guidance documents in December 2021 relating to IND submissions for individualized antisense oligonucleotide drugs for severely debilitating or life-threatening genetic diseases, one with clinical focus, the other with chemistry manufacturing and controls focus, and in June 2022 a draft guidance on clinical pharmacology considerations for the development of oligonucleotide therapeutics, the FDA and its foreign counterparts have not yet established any definitive policies, practices or guidelines in relation to overall development considerations for RNA editing oligonucleotide therapies. The general lack of policies, practices or guidelines specific to oligonucleotides may hinder or slow review by the FDA or other foreign homologues of any regulatory filings that we may submit. Moreover, the FDA or other foreign homologues may respond to these submissions by defining requirements we may not have anticipated. Addressing such requirements could lead to significant delays in the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product candidate. 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common stock could decline.</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For more information, see the section below titled “</w:t>
      </w:r>
      <w:r>
        <w:rPr>
          <w:rFonts w:ascii="Times New Roman" w:cs="Times New Roman" w:eastAsia="Times New Roman" w:hAnsi="Times New Roman"/>
          <w:sz w:val="18"/>
          <w:szCs w:val="18"/>
          <w:i w:val="1"/>
          <w:iCs w:val="1"/>
          <w:color w:val="auto"/>
        </w:rPr>
        <w:t>Our Business—Governmental Regulation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the ultimate content, timing or effect of any healthcare reform legislation or the impact of potential legislation on us. In addition, other legislative changes have been proposed and adopted since the ACA was enacted. We may choose to seek an expanded access program for our product candidates, or to utilize comparable rules in other countries that allow the use of a drug, on a named patient basis or under a compassionate use program.</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order to proceed into clinical development of any product candidates we identify, we will need to submit INDs or comparable foreign applications to regulatory authorities and obtain regulatory clearance to commence clinical development. Because the product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if the FDA does find our success criteria to be sufficiently validated and clinically meaningful, we may not achieve the pre-specified endpoints to a degree of statistical significance. 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 Within the broader genome product field, only a limited number of gene therapy products, such as uniQure N.V.’s Glybera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Abecma from Bristol Myers Squibb and bluebird bio, have received marketing authorization or marketing approval from the European Commission or the FDA. Some of these products have taken years to register and have had to deal with significant issues in their post-marketing experience.</w:t>
      </w:r>
    </w:p>
    <w:p>
      <w:pPr>
        <w:spacing w:after="0" w:line="26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may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and our collaborators, if any, may experience numerous unforeseen events during, or as a result of, clinical trials that could delay or prevent our ability to receive marketing approval or commercialize any product candidates we may identify and develop, including:</w:t>
      </w:r>
    </w:p>
    <w:p>
      <w:pPr>
        <w:spacing w:after="0" w:line="67"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that may render it inappropriate to conduct a trial with a control arm that can be effectively compared to a treatment arm;</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82"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product candidates we may develop may be greater than we anticipate;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may develop that are viewed to outweigh their potential benefits;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85"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product candidates we may develop or not obtain marketing approval at all;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our distribution in the form of a REMS or through modification to an existing REMS;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COVID-19 global pandemic or emerging or future variants of COVID-19, the size of the patient population, the age and condition of the patients, the stage and severity of disease, the nature and requirements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Prior to commercialization, any of our product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Approval of any of our product candidates may be delayed or refused for many reasons, including:</w:t>
      </w:r>
    </w:p>
    <w:p>
      <w:pPr>
        <w:spacing w:after="0" w:line="131"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programs or clinical trials;</w:t>
      </w:r>
    </w:p>
    <w:p>
      <w:pPr>
        <w:spacing w:after="0" w:line="67"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291"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product candidates we may develop will obtain the regulatory approvals necessary for us or our collaborators to begin selling them.</w:t>
      </w:r>
    </w:p>
    <w:p>
      <w:pPr>
        <w:spacing w:after="0" w:line="17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adversely affect our ability to generate revenues from the particular product candidate for which we are seeking approval. Furthermore, any regulatory approval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market a product may be subject to limitations on the approved uses for which we may market the product or the labeling or other restrictions. In addition, the FDA has the authority to require a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28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6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cGMPs, quality control, quality assurance and corresponding maintenance of records and documents, including periodic inspections by the FDA and other regulatory authorities and requirements regarding the distribution of samples to providers and recordkeeping.</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67"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may submit;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oversight. If we fail to comply with continuing U.S. and foreign requirements, our approvals, if obtained, could be limited or withdrawn, we could be subject to other penalties, and our business would be seriously harmed.</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and compliance with GCP for any clinical trials that we conduct post-approval. Failure to comply with these requirements could result in warning or untitled letters, criminal or civil penalties, recalls, or product withdrawals. In addition, we intend to seek approval to market our product candidates in jurisdictions outside of the United States, and therefore will be subject to, and must comply with, regulatory requirements in those jurisdictions.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our CMOs, and the manufacturing facilities we use to make our product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the material ourselves, including reliance on the CMO for regulatory compliance. Our product promotion and advertising will also be subject to regulatory requirements and continuing regulatory review.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drugs we develop may become subject to unfavorable pricing regulations, third-party reimbursement practices or healthcare reform initiatives, thereby harming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product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w:t>
      </w:r>
    </w:p>
    <w:p>
      <w:pPr>
        <w:spacing w:after="0" w:line="81"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incident to a physician’s services;</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reasonable and necessary for the diagnosis or treatment of the illness or injury for which they are administered according to accepted standards of medical practice;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been approved by the FDA and meet other requirements of the statute.</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82"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9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For more information on these changes, see the section below titled “</w:t>
      </w:r>
      <w:r>
        <w:rPr>
          <w:rFonts w:ascii="Times New Roman" w:cs="Times New Roman" w:eastAsia="Times New Roman" w:hAnsi="Times New Roman"/>
          <w:sz w:val="18"/>
          <w:szCs w:val="18"/>
          <w:i w:val="1"/>
          <w:iCs w:val="1"/>
          <w:color w:val="auto"/>
        </w:rPr>
        <w:t>Our Business—Governmental Regulation—Affordable Care Act and Legislative Reform Measures</w:t>
      </w:r>
      <w:r>
        <w:rPr>
          <w:rFonts w:ascii="Times New Roman" w:cs="Times New Roman" w:eastAsia="Times New Roman" w:hAnsi="Times New Roman"/>
          <w:sz w:val="18"/>
          <w:szCs w:val="18"/>
          <w:color w:val="auto"/>
        </w:rPr>
        <w:t>.” It is unclear how any additional healthcare reform measures may increase the pressure on drug pricing or limit the availability of coverage and adequate reimbursement for our future candidates. We expect ongoing initiatives in the United States to increase pressure on drug pricing and reimbursement.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designation, in particular if the product is sufficiently profitable so that market exclusivity is no longer justified.</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FDA’s standards for granting orphan drug exclusivity in the gene therapy context are unclear and evolving. In order for the FDA to grant orphan drug exclusivity to one of our product candidates, the agency must find that the product candidate is indicated for the treatment of a condition or disease that affects fewer than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August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violates any of, these laws or regulations.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service providers or other third parties fail to comply with applicable healthcare laws and regulations, we could be subject to enforcement actions, which could affect our ability to develop, market and sell our products and may harm our reputation.</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are currently, or may in the future, be subject to federal, state, local, and comparable foreign healthcare laws and regulations relating to areas such as fraud and abuse and patients’ rights. These laws may constrain the business or financial arrangements and relationships through which we conduct our operations, including how we research, market, sell and distribute our products for which we obtain marketing approval. For more information on these laws, see the section below titled “</w:t>
      </w:r>
      <w:r>
        <w:rPr>
          <w:rFonts w:ascii="Times New Roman" w:cs="Times New Roman" w:eastAsia="Times New Roman" w:hAnsi="Times New Roman"/>
          <w:sz w:val="18"/>
          <w:szCs w:val="18"/>
          <w:i w:val="1"/>
          <w:iCs w:val="1"/>
          <w:color w:val="auto"/>
        </w:rPr>
        <w:t>Our Business—Governmental Regulation—Other Healthcare Laws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and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could divert our management’s attention from the operation of our business, and could harm our reputation, even if our defense is successful. In addition, achieving and sustaining compliance with applicable laws and regulations may be costly to us in terms of money, time and resources.</w:t>
      </w:r>
    </w:p>
    <w:p>
      <w:pPr>
        <w:spacing w:after="0" w:line="19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81"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and/or untitled letters;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up to and including criminal prosecution resulting in fines, exclusion from healthcare reimbursement programs and imprisonment.</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noncompliance with regulatory standards and requirements.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ourself against claims that our product candidates or medicines caused injuries, we could incur substantial liabilities. Regardless of merit or eventual outcome, liability claims may result in:</w:t>
      </w:r>
    </w:p>
    <w:p>
      <w:pPr>
        <w:spacing w:after="0" w:line="85"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medicines that we may develop;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225"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While we have not experienced any such material system failure, or accident, and are unaware of any security breach to date, if such an event were to occur and cause interruptions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To date, we have not experienced a material compromise of our data or information systems. However,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market and sell our future product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8"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the U.S. government has shut down several times and certain regulatory agencies, such as the FDA, have had to furlough critical FDA employees and stop critical activities.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and our failure to comply with them could harm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The collection, use, disclosure, transfer or other processing of personal data originating from the European Economic Area, or EEA, and United Kingdom, or UK, is governed by the General Data Protection Regulation, or EU GDPR, and the UK General Data Protection Regulation, or UK GDPR, which, together with the EU GDPR, is referred to as the GDPR. For additional information on these regimes, see “</w:t>
      </w:r>
      <w:r>
        <w:rPr>
          <w:rFonts w:ascii="Times New Roman" w:cs="Times New Roman" w:eastAsia="Times New Roman" w:hAnsi="Times New Roman"/>
          <w:sz w:val="18"/>
          <w:szCs w:val="18"/>
          <w:i w:val="1"/>
          <w:iCs w:val="1"/>
          <w:color w:val="auto"/>
        </w:rPr>
        <w:t>Our Business—Government Regulation—Privacy and Cybersecurity</w:t>
      </w:r>
      <w:r>
        <w:rPr>
          <w:rFonts w:ascii="Times New Roman" w:cs="Times New Roman" w:eastAsia="Times New Roman" w:hAnsi="Times New Roman"/>
          <w:sz w:val="18"/>
          <w:szCs w:val="18"/>
          <w:color w:val="auto"/>
        </w:rPr>
        <w:t>”. Compliance with these and any other applicable privacy and data security laws and regulations is a rigorous and time-intensive process, and we may be required to put in place additional mechanisms to ensure compliance, and despite those efforts, if we fail to comply with any such laws or regulations, we may face significant fines and penalties that could adversely affect our reputation,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Third Party Relationships</w:t>
      </w:r>
    </w:p>
    <w:p>
      <w:pPr>
        <w:spacing w:after="0" w:line="11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3" w:lineRule="exact"/>
        <w:rPr>
          <w:sz w:val="20"/>
          <w:szCs w:val="20"/>
          <w:color w:val="auto"/>
        </w:rPr>
      </w:pPr>
    </w:p>
    <w:p>
      <w:pPr>
        <w:ind w:left="120"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p>
    <w:p>
      <w:pPr>
        <w:spacing w:after="0" w:line="2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and expect to continue to, rely on third parties, such as CROs, clinical data management organizations, medical institutions, preclinical laboratories and clinical investigators, to conduct some aspects of our research. For example, we may rely on a third party to supply LNPs, or to conduct some of our preclinical animal experiments. Any of these third parties may terminate their engagements with us at any time under certain criteria. If we need to enter into alternative arrangements, we may delay our product development activities.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its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7"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82"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93"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our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anticipate that we will rely, on third parties to design, conduct, supervise and monitor our preclinical studies and clinical trials, and if those third parties perform in an unsatisfactory manner, it may harm our business.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rely, and anticipate that we will rely, on third party clinical investigators, CROs, clinical data management organizations and consultants to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third parties may not be diligent, careful or timely in conducting our preclinical studies or clinical trials, resulting in the preclinical studies or clinical trials being delayed or unsuccessful.</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United States,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w:t>
      </w:r>
    </w:p>
    <w:p>
      <w:pPr>
        <w:spacing w:after="0" w:line="29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 the supply and manufacture of our product candidates for our research, preclinical and clinical activities, and may do the same for commercial supplies of our product candidates.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yet manufactured our product candidates on a commercial scale, and may not be able to do so for any of our product candidates. We currently rely on third parties in the supply and manufacture of materials for our research, preclinical and clinical activities and may continue to do so for the foreseeable future, including if we received regulatory approval for any product candidate. We may do the same for the commercial supply of our drug product. We use third parties to perform additional steps in the manufacturing process, such as the filling, finishing and labeling of vials and storage of our product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nucleic acid therapeutics, there may be increased competition for the supply of the raw materials that are necessary to make our oligonucleotides, which could severely impact the manufacturing of our product candidates.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ourself,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4" w:lineRule="exact"/>
        <w:rPr>
          <w:sz w:val="20"/>
          <w:szCs w:val="20"/>
          <w:color w:val="auto"/>
        </w:rPr>
      </w:pPr>
    </w:p>
    <w:p>
      <w:pPr>
        <w:jc w:val="both"/>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on our manufacturing requirements, either by us or by one of our third-party vendors, could adversely affect our business.</w:t>
      </w:r>
    </w:p>
    <w:p>
      <w:pPr>
        <w:spacing w:after="0" w:line="28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listed in the section above titled “</w:t>
      </w:r>
      <w:r>
        <w:rPr>
          <w:rFonts w:ascii="Times New Roman" w:cs="Times New Roman" w:eastAsia="Times New Roman" w:hAnsi="Times New Roman"/>
          <w:sz w:val="18"/>
          <w:szCs w:val="18"/>
          <w:i w:val="1"/>
          <w:iCs w:val="1"/>
          <w:color w:val="auto"/>
        </w:rPr>
        <w:t>Risks Related to Regulatory, Legal, and Clinical Trials</w:t>
      </w:r>
      <w:r>
        <w:rPr>
          <w:rFonts w:ascii="Times New Roman" w:cs="Times New Roman" w:eastAsia="Times New Roman" w:hAnsi="Times New Roman"/>
          <w:sz w:val="18"/>
          <w:szCs w:val="18"/>
          <w:color w:val="auto"/>
        </w:rPr>
        <w:t>”, including certain laws and regulations applicable only if we have marketed products.</w:t>
      </w:r>
    </w:p>
    <w:p>
      <w:pPr>
        <w:spacing w:after="0" w:line="18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of benefits or advantages to physicians is also governed by the national anti-bribery laws of European Union Member States, such as the U.K.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Bribery Act 2010. Infringement of these laws could result in substantial fines and imprisonment.</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Personnel, Operations and Growth</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For example, as a result of the COVID-19 pandemic, we have faced challenges in retaining and attracting employees to support our research and development efforts, and our failure to do so could have an adverse effect on our ability to execute on our business plan.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spacing w:after="0" w:line="5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Immediately after completion of the Merger, we had 95 full-time employees, including 32 who hold Ph.D. degrees, and one part-time employee; 72 employees are engaged in research and development and 24 employees in management or general and administrative activities. In connection with the growth and advancement of our pipeline and becoming a public company through the Merger, we expect to increase the number of our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our current physical laboratory space may be insufficient for our near-term research and development hiring plans, and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18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we may develop will depend in part on our ability to effectively manage our future development and expansion.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protect intellectual property rights related to any of our product candidates, development and commercialization of our product candidates may be adversely affected.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where necessary in-licenses of intellectual property rights of others, in the United States and in other countries for our product candidates and platform technologies, as well as for methods used to manufacture our product candidates, and methods for treating patients for approved indications using our product candidates, as well as our ability to preserve our trade secrets, to prevent third parties from infringing upon our proprietary rights and to operate without infringing upon the proprietary rights of others. Certain research and development activities involved in pharmaceutical development are exempt from patent infringement in the United States and other jurisdictions, for example, in the United States by the provisions of 35 U.S.C. § 271(e)(1), or the Safe Harbor. However, in the United States and certain other jurisdictions, the Safe Harbor exemption can terminate when the sponsor submits an application for marketing approval (e.g., a New Drug Application, or NDA, in the United States). Therefore, the risk that a third party might allege patent infringement may increase as our product candidates approach commercialization.</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82"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sufficient to stop a competitor from developing and commercializing a product. Furthermore, any successful challenge to these patents or any other patents owned by or licensed to us in the future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apply for patents or obtain patent protection on certain aspects of our product candidates or our RNA editing platform OPERA in a timely fashion or at all. 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platform technologies, or any methods relating to them, or to provide meaningful protection from competitors. Consequently, it is unknown whether our platform technology or product candidates will be protectable or remain protected by valid and enforceable patents. Any failure to obtain, maintain or defend our patents and other intellectual property could have a material adverse effect on our business, financial conditions, results of operations and prospects.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they are not, we may be subject to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Because patent applications in the United States and other countries are confidential for a period of time after filing, at any moment in time, we cannot be certain that we were in the past or will be in the future the first to file any patent application related to our product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issued patents or pending applications, or that we or, if applicable, a licensor were the first to invent or first to file an application for the technology.</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can be highly uncertain and involves complex legal and factual questions. As a result, the issuance, scope, validity, enforceability and commercial value of any patent rights are highly uncertain.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maintenance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Thus, in some countries and jurisdictions, it may not be possible to patent some of our product candidates at all. In some countries and jurisdictions, only composition claims may be obtained, and only when those compositions are or contain compounds that are new and/or novel. Also, patents issued with composition claims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covering product candidates) cannot always be enforced to protect methods of using those compositions to treat or diagnose diseases or medical conditions. Legal systems in certain countries may not favor enforcement or protection of patents, trade secrets and other intellectual property. Lack of intellectual property protection in such cases may have a materially adverse effect on our business and financial condition.</w:t>
      </w:r>
    </w:p>
    <w:p>
      <w:pPr>
        <w:spacing w:after="0" w:line="19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product candidates and RNA editing technology. While we will endeavor to try to protect our product candidates and RNA editing technology with intellectual property rights such as patents, as appropriate, the process of filing and prosecuting patent applications, and obtaining, maintaining and defending patents is time-consuming, expensive, uncertain, and sometimes unpredictable.</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patent applications may not issue as patents, and even issued patents may not provide sufficient protection of our RNA editing platform OPERA and our product candidates and issued patents may not provide.</w:t>
      </w:r>
    </w:p>
    <w:p>
      <w:pPr>
        <w:spacing w:after="0" w:line="51"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In addition to claims directed toward the technology underlying our OPERA platform, our patents and patent applications contain claims directed to compositions of matter on the active pharmaceutical ingredients, or APIs, in our product candidates, as well as methods-of-use directed to the use of an API for a specified treatment. Composition-of-matter patents on the active pharmaceutical ingredient in prescription drug products provide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may in-license in the future may fail to result in issued patents with claims that cover our product candidates or uses thereof in the United States or in other foreign countries. For example, while our patent applications are pending, we may be subject to a third party preissuance submission of prior art to the USPTO or become involved derivation proceedings, or equivalent proceedings in foreign jurisdictions.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Our competitors may have filed, and may in the future file, patent applications covering our products or technology similar to our own. Any such patent application may have priority over our patent applications or patents, which could require us to obtain rights to issued patents covering such technologies.</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Moreover, we are also possible that prior art may exist that we are aware of but does not believe is relevant to our current or future patents, but that could nevertheless be determined to render our patents invalid.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 consuming and unsuccessful.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following legal allegations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Further, a court or administrative body could construe certain patent claims narrowly or refuse to prevent the other party from using the technology at issue on the ground that our patents do not cover the technology.</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19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An unfavorable outcome could require us to cease using the related technology or force us to take a license under the patent rights of the prevailing party, if available. Furthermore, our business could be harmed if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prevailing party does not offer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we in-licenses patent rights in the future,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we or our future licensors, as the case may be, may not be able to detect infringement against our owned or in-licensed patents, which may be especially difficult for manufacturing processes or formulation patents. Even if we or our future licensors detect infringement by a third party of owned or future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owned or future in-licensed patents, as the case may be, against that third party.</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or proprietary rights of third parties.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 We are aware of competitors in the oligonucleotide space whose patent application filings and/or issued patents may include claims directed to technologies and/or products related to some of our programs and product candidates. For example, we are aware of patents and patent applications owned by third parties that have generic claims that may relate to our technologies and products.</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our intellectual property rights, we may face a number of issues, including, but not limited to:</w:t>
      </w:r>
    </w:p>
    <w:p>
      <w:pPr>
        <w:spacing w:after="0" w:line="67" w:lineRule="exact"/>
        <w:rPr>
          <w:sz w:val="20"/>
          <w:szCs w:val="20"/>
          <w:color w:val="auto"/>
        </w:rPr>
      </w:pPr>
    </w:p>
    <w:p>
      <w:pPr>
        <w:ind w:left="1080" w:right="34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materials, formulations, methods of manufacture or methods for treatment related to the use or manufacture of its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it.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 In that event, we would be unable to further develop and commercialize our product candidates, which could significantly harm our business.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Likewise, our patents and patent applications, if issued as patents, directed to our proprietary technologies and our product candidates are expected to expire from 2040 through 2044,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or our future licensors, collaborators or strategic partners may be subject to third-party claims for infringement or misappropriation of patent or other proprietary rights. We may be generally obligated under our future potential license or collaboration agreements to indemnify and hold harmless our licensors or collaborators for damages arising from intellectual property infringement by us. If we or our future licensors, collaborators or strategic partners are found to infringe a third-party patent or other intellectual property rights, we could be required to pay damages, potentially including treble damages, if we are found to have willfully infringed. In addition, we or our future licensors, collaborators or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it. If we fail to obtain a required license, we or our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substantially greater resources. Uncertainties resulting from the initiation and continuation of patent litigation or other proceedings could delay our research and development efforts and limit our ability to continue our operations.</w:t>
      </w:r>
    </w:p>
    <w:p>
      <w:pPr>
        <w:spacing w:after="0" w:line="162"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Additionally,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or in-licensing necessary rights to key technologies or any product candidates we may develop.</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There has been extensive patenting activity in the field of gene editing. Pharmaceutical companies, biotechnology companies and academic institutions are competing with us or are expected to compete with us in the in the field of gene editing technology and filing patent applications potentially relevant to our business. In order to market our product candidates, we may find it necessary or prudent to obtain licenses from third-party intellectual property holders. However, we may be unable to secure such licenses or otherwise acquire or in-license any compositions, methods of use, processes, or other intellectual property rights from third parties that we identify as necessary to develop or commercialize our product candidates or other key technologies. We may also require licenses from third parties for certain additional technologies, including technologies relating to RNA editing, such as guide RNA modification, or target sequences as well as delivery technologies for product candidates we may develop. We may not be able to obtain such a license on an exclusive basis, on commercially reasonable terms, or at all, which could prevent us from commercializing our product candidates or allow our competitors or other third parties the chance to access technology that is important to our business.</w:t>
      </w:r>
    </w:p>
    <w:p>
      <w:pPr>
        <w:spacing w:after="0" w:line="194" w:lineRule="exact"/>
        <w:rPr>
          <w:sz w:val="20"/>
          <w:szCs w:val="20"/>
          <w:color w:val="auto"/>
        </w:rPr>
      </w:pPr>
    </w:p>
    <w:p>
      <w:pPr>
        <w:ind w:left="120" w:right="560" w:firstLine="440"/>
        <w:spacing w:after="0" w:line="258"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such institution may offer the intellectual property rights to others, potentially blocking our ability to pursue our program.</w:t>
      </w:r>
    </w:p>
    <w:p>
      <w:pPr>
        <w:spacing w:after="0" w:line="183"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The licensing or acquisition of third-party intellectual property rights is a highly competitive area, and a number of more established companies are also pursuing strategies to license or acquire third-party intellectual property rights that it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It is possible that we may be unable to obtain required licenses at a reasonable cost or on reasonable terms, if at all. Even if we are able to obtain a license, we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the scope of rights granted under the license agreement and other interpretation- 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82"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277"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29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Further,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28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RNA editing platform technology and product candidates.</w:t>
      </w:r>
    </w:p>
    <w:p>
      <w:pPr>
        <w:spacing w:after="0" w:line="5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could increase the uncertainties and costs surrounding the prosecution of patent applications and the enforcement or defense of our issued patents and pending patent applications.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w:t>
      </w:r>
    </w:p>
    <w:p>
      <w:pPr>
        <w:spacing w:after="0" w:line="18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Because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establishing a post-grant review system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and U.S. Court of Appeals for the Federal Circuit rulings have narrowed the scope of patent protection available in certain circumstances and weakened the rights of patent owners in certain situations. In addition to increasing uncertainty with regard to our ability to obtain patents in the future, these rulings have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future decisions by the courts, the U.S. Congress or the USPTO may impact the value of our patents. Any adverse changes in the patent laws of other jurisdictions could also have a material adverse effect on our business, financial condition, results of operations and prospects.</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recently the European Unified Patent Court, or UPC, was created as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does not believe patent protection is appropriate or obtainable.</w:t>
      </w:r>
    </w:p>
    <w:p>
      <w:pPr>
        <w:spacing w:after="0" w:line="176" w:lineRule="exact"/>
        <w:rPr>
          <w:sz w:val="20"/>
          <w:szCs w:val="20"/>
          <w:color w:val="auto"/>
        </w:rPr>
      </w:pPr>
    </w:p>
    <w:p>
      <w:pPr>
        <w:jc w:val="both"/>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regards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depends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For more information regarding PTA and PTE, please see “</w:t>
      </w:r>
      <w:r>
        <w:rPr>
          <w:rFonts w:ascii="Times New Roman" w:cs="Times New Roman" w:eastAsia="Times New Roman" w:hAnsi="Times New Roman"/>
          <w:sz w:val="18"/>
          <w:szCs w:val="18"/>
          <w:i w:val="1"/>
          <w:iCs w:val="1"/>
          <w:color w:val="auto"/>
        </w:rPr>
        <w:t>Our Business—Intellectual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Even if patents covering our product candidates are obtained, once the patent life has expired, we may be open to competition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82"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PTE and data exclusivity for any product candidates we may develop, our business may be materially harmed.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product candidates we may develop or utilize similar base editing technology but that are not covered by the claims of the patents that we may own in the future;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might not have been the first to make the inventions covered by the issued patent or pending patent application that we license or may own in the future;</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may fail to meet our obligations to the U.S. government regarding any in-licensed patents and patent applications funded by U.S. government grants, leading to the loss or unenforceability of patent rights;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patents, or parts of our owned or in-licensed patents;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unenforceable, or narrowed in scope, including as a result of legal challenges by our competitors;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if and when issued, may not cover our product candidates;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our future license partners or collaborators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us or the patents or patent applications on which they are named as inventors;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develops may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challenge, invalidate, circumvent or weaken our patents, and as a result, a court could hold that our patents are not valid, enforceable and infringed;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conduct research and development activities in countries where we do not have enforceable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impose limitations on our ability to commercialize our product candidates.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use of open source software could impose limitations on our ability to commercialize our product candidates. Our technology utilizes open source software that contains modules licensed for use from third-party authors under open source licenses. In particular, some of the software that powers OPERA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our use for commercial purposes, we may be required to replace those software components, which could result in delays, additional cost and additional regulatory approvals.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source software, the terms of many open source licenses have not been interpreted by U.S. courts, and there is a risk that those licenses could be construed in a manner that could impose unanticipated conditions or restrictions on our ability to commercialize our product candidates. We could be required to seek licenses from third parties in order to continue offering our product candidates, to re-engineer our product candidates or to discontinue the sale of our product candidates in the event re-engineering cannot be accomplished on a timely basis, any of which could materially and adversely affect our business, financial condition, results of operations and prospects.</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the effects of disease outbreaks, epidemics and pandemics.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our business, including by causing significant disruptions in our operations and/or in the operations of CROs upon whom we may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product candidates, if at all.</w:t>
      </w:r>
    </w:p>
    <w:p>
      <w:pPr>
        <w:spacing w:after="0" w:line="183"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General supply chain issues may be exacerbated during disease outbreaks, epidemics and pandemics and may also impact the ability of our clinical trial sites to obtain basic medical supplies used in our trials in a timely fashion, if at all. If any of our raw materials or components suppliers become subject to acts or orders of U.S. or foreign government entities to allocate or prioritize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disasters, terrorist activity, pandemics and other events beyond our control, which could harm our business.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facilities are located in Massachusetts. We have not undertaken a systematic analysis of the potential consequences to our business and financial results from a major flood, power loss, terrorist activity, pandemics or other disasters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82"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employee personal information, contractual relations with third parties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Operations Following the Merger</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any of the events described in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 occur, those events could cause potential benefits of the Merger not to be realized. To the extent any of the events in the risks described in that section occurs, the potential benefits of the Merger may not be realized and our results of operations and financial condition could be adversely affected in a material way. This could cause the market price of our common stock to decline.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 and the market price of our common stock may drop following the Merger.</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6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82"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84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Following the Merger, we may be unable to successfully integrate Frequency’s and our businesses and realize the anticipated benefits of the Merger.</w:t>
      </w:r>
    </w:p>
    <w:p>
      <w:pPr>
        <w:spacing w:after="0" w:line="13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Merger involved the combination of two companies that operated as independent companies. Following the Merger, we are required to devote significant management attention and resources to integrating our business practices and operations. We may fail to realize some or all of the anticipated benefits of the Merger if the integration process takes longer than expected or is more costly than expected. Potential difficulties we may encounter in the integration process include the following:</w:t>
      </w:r>
    </w:p>
    <w:p>
      <w:pPr>
        <w:spacing w:after="0" w:line="85" w:lineRule="exact"/>
        <w:rPr>
          <w:sz w:val="20"/>
          <w:szCs w:val="20"/>
          <w:color w:val="auto"/>
        </w:rPr>
      </w:pPr>
    </w:p>
    <w:p>
      <w:pPr>
        <w:ind w:left="1080" w:right="60" w:hanging="532"/>
        <w:spacing w:after="0" w:line="312"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combine our businesses in a manner that permits us to achieve the anticipated benefits from the Merger, which would result in the anticipated benefits of the Merger not being realized partly or wholly in the time frame currently anticipated or at all;</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uniform standards, controls, procedures, policies and information systems;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Merger.</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prior to the Merger, we operated independently. It is possible that the integration process also could result in the diversion of our management’s attention, the disruption or interruption of, or the loss of momentum in our ongoing businesses or inconsistencies in standards, controls, procedures and policies, any of which could adversely affect our ability to maintain our business relationships or the ability to achieve the anticipated benefits of the Merger, or could otherwise adversely affect our business and financial results.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operating Legacy Korro’s business as a public company that it did not incur as a private company, including costs associated with public company reporting obligations under the Securities Exchange Act of 1934, as amended, or the Exchange Act. Our new post-Merger management team includes some individuals who have not previously managed and operated a public company. These executive officers and other personnel will need to devote substantial time to gaining expertise related to public company reporting requirements and compliance with applicable laws and regulations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82"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ensure that we continue to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operating Legacy Korro’s business as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We will no longer qualify as an emerging growth company after December 31, 2023.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Once we are no longer an emerging growth company or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 This will require that we incur substantial professional fees and internal costs to expand our accounting and finance functions and that we expend significant management efforts. We may experience difficulty in meeting these reporting requirements in a timely manner.</w:t>
      </w:r>
    </w:p>
    <w:p>
      <w:pPr>
        <w:spacing w:after="0" w:line="187"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82"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misstatements due to error or fraud will not occur or that all control issues and instances of fraud will be detected.</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unaudited pro forma condensed combined financial information included in this prospectus are preliminary, and our actual financial position and operations after the Merger may differ materially from the unaudited pro forma financial information included in this prospectus.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unaudited pro forma financial information included herein is presented for illustrative purposes only and is not necessarily indicative of our actual financial condition or results of operations of future periods, or the financial condition or results of operations that would have been realized had the entities been combined during the period presented. Our actual results and financial position after the Merger may differ materially and adversely from the unaudited pro forma financial information included in this prospectus. See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of this prospectus.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as amended, or Charter, and amended and restated bylaws, or Bylaws, and provisions under Delaware law could make an acquisition of us more difficult and may prevent attempts by our stockholders to replace or remove our management.</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Provisions in the Charter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66.67% of the votes that all our stockholders would be entitled to cast to amend or repeal certain provisions of the Charter or Bylaws.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DGCL, which prohibits stockholders owning in excess of 15%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83"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Bylaws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arising pursuant to any provision of the DGCL, Charter or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The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the Bylaws provide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w:t>
      </w:r>
    </w:p>
    <w:p>
      <w:pPr>
        <w:spacing w:after="0" w:line="190" w:lineRule="exact"/>
        <w:rPr>
          <w:sz w:val="20"/>
          <w:szCs w:val="20"/>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Delaware Forum Provision and the Federal Forum Provision may impose additional litigation costs on our stockholders in pursuing any such claims, particularly if our stockholders do not reside in or near the State of Delaware. Additionally, the forum selection clauses in the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of common stock may never develop or be sustained. If an active market for our common stock does not develop or is not sustained, it may be difficult for our stockholders to sell their shares at an attractive price or at all.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this prospectus lapse, the trading price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82"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common stock could decline. Based on shares outstanding as of November 3, 2023, after giving effect to the Merger and the 1-for-50 reverse stock split effected immediately prior thereto, we have outstanding a total of approximately 8,001,283 shares of common stock as of immediately following the completion of the Merger. Of the shares of common stock, approximately 5,063,049 shares will be available for sale in the public market beginning 180 days after the closing of the Merger as a result of the expiration of certain lock-up agreements. All other outstanding shares of common stock, other than shares held by our affiliates and shares issued in exchange for shares of Legacy Korro’s common stock issued in the Pre-Closing Financing will be freely tradable, without restriction, in the public market. In addition, shares of common stock that are subject to our outstanding options or warrants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296"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approximately 77%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following the Merger,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and cash equivalents and the proceeds from the Pre-Closing Financing and may invest or spend the proceeds in ways with which you do not agree and in ways that may not increase the value of your investment.</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have broad discretion over the use of our cash and cash equivalents, including the proceeds from the Pre-Closing Financing.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82"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Changes to tax laws (which changes may have retroactive application) could adversely affect our business and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 carryforwards and other tax attributes may be limited, including as a result of the Merger.</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ability to utilize NOL carryforwards and other tax attributes to offset future taxable income or tax liabilities may be limited as a result of ownership changes, including, as discussed below, in connection with the Merger or other transactions. Similar rules may apply under state tax laws. If we earn taxable income, such limitations could result in increased future income tax liability to us, and our future cash flows could be adversely affected.</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risks related to the net operating loss carryforwards and certain of our other tax attributes, please see the discussion under “</w:t>
      </w:r>
      <w:r>
        <w:rPr>
          <w:rFonts w:ascii="Times New Roman" w:cs="Times New Roman" w:eastAsia="Times New Roman" w:hAnsi="Times New Roman"/>
          <w:sz w:val="18"/>
          <w:szCs w:val="18"/>
          <w:i w:val="1"/>
          <w:iCs w:val="1"/>
          <w:color w:val="auto"/>
        </w:rPr>
        <w:t>Risk Factors—Risks Related to Our Financial Position and Need for Capital—Our ability to utilize our net operating loss, or NOL,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carryforwards and certain other tax attributes may be limited.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results of operations or cash flows.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2,077,864 shares of our common stock. The selling stockholders will receive all of the proceeds from any sale of such shares. We will not receive any proceeds from any sales of shares of our common stock by the selling stockholders.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320" w:top="482" w:right="5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“KRRO.” Prior to the consummation of the Merger, the Common Stock was listed on the Nasdaq Capital Market under the symbol “FREQ.”</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of November 29, 2023, we had approximately 8,011,438 shares of Common Stock issued and outstanding held of record by 119 registered holders. The actual number of holders of these securities is greater than this number of record holders, as the actual number includes holders who are beneficial owners whose securities are held in street name by brokers and other nominees. This number of holders of record also does not include holders whose securities may be held in trust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40"/>
          </w:cols>
          <w:pgMar w:left="320" w:top="482"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data assumes that the Merger took place on September 30, 2023, and combines the historical balance sheets of Frequency and Legacy Korro as of such date. The unaudited pro forma condensed combined statements of operations and comprehensive loss for the nine-month period ended September 30, 2023 and for the year ended December 31, 2022 assumes that the Merger took place as of January 1, 2022 and combines the historical results of Frequency and Legacy Korro for the period then ended. The unaudited pro forma condensed combined financial information was prepared pursuant to the rules and regulations of Article 11 of SEC Regulation S-X.</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does not necessarily reflect what the actual consolidated results of operations would have been had the acquisition occurred on the dates assumed and may not be useful in predicting the future consolidated results of operations or financial position. 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of the Merger, will occur and these differences could have a material impact on the accompanying unaudited pro forma condensed combined financial information and the combined company’ future results of operations and financial position. Differences between the preliminary estimates and final amounts will likely occur as a result of the amount of cash used for Frequency’s operations, changes in the fair value of Frequency common stock, or other changes in Frequency’s assets and liabilities.</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actual results reported in periods following the Merger may differ significantly from those reflected in the unaudited pro forma condensed combined financial information presented herein for a number of reasons, including, but not limited to, differences in the assumptions used to prepare this unaudited pro forma condensed combined financial information.</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including the notes thereto, should be read in conjunction with the separate historical financial statements of each of Legacy Korro and Frequency, as well as the disclosures contained in the sections entitled “</w:t>
      </w:r>
      <w:r>
        <w:rPr>
          <w:rFonts w:ascii="Times New Roman" w:cs="Times New Roman" w:eastAsia="Times New Roman" w:hAnsi="Times New Roman"/>
          <w:sz w:val="18"/>
          <w:szCs w:val="18"/>
          <w:i w:val="1"/>
          <w:iCs w:val="1"/>
          <w:color w:val="auto"/>
        </w:rPr>
        <w:t>Korro Bio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Frequency 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Accounting rules require evaluation of certain assumptions, estimates, or determination of financial statement classifications. The accounting policies of Frequency may materially vary from those of Legacy Korro.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Management is in the process of conducting a final review of Frequency’s accounting policies in order to determine if differences in accounting policies require adjustment or reclassification of Frequency’s results of operations or reclassification of assets or liabilities to conform to Legacy Korro’s accounting policies and classifications. As a result of this review, management may identify differences that, when conformed, could have a material impact on these unaudited pro forma condensed combined financial statements.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Merger</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On July 14, 2023, Frequency Therapeutics, Inc., a Delaware corporation, or Frequency, entered into an Agreement and Plan of Merger, or the Merger Agreement, with Korro Bio, Inc., a Delaware corporation, or Legacy Korro, and Frequency Merger Sub, Inc., a Delaware corporation and wholly owned subsidiary of Frequency, or Merger Sub. On November 3, 2023, Merger Sub merged with and into Legacy Korro, with Legacy Korro surviving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Merger as a wholly owned subsidiary of Frequency, or the Merger. The Merger qualifies as a “reorganization” within the meaning of Section 368(a) of the Code. In connection with the closing of the Merger, the combined company changed its name to “Korro Bio, Inc.” and Legacy Korro changed its name to “Korro Bio Ops, Inc.”.</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November 3, 2023 at the time the certificate of merger was filed with and accepted by the Secretary of State of the State of Delaware, or the Effective Time, (i) each share of Legacy Korro common stock was converted into the right to receive a number of shares of Frequency common stock determined at the closing of the Merger equal to the total number of shares of Frequency common stock issued in the Merger multiplied by the applicable Legacy Korro stockholder’s percentage interest in Legacy Korro as set forth in the allocation certificate provided by Legacy Korro, or the Allocation Certificate, at closing. Each option to purchase shares of Legacy Korro common stock that was outstanding as of immediately prior to the Effective Time was automatically converted into an option to acquire the number of shares of Frequency common stock equal to the number of shares of Legacy Korro common stock subject to such option as of immediately prior to the Effective Time multiplied by the option exchange ratio provided for in the Merger Agreement and rounding that result down to the nearest whole number of shares. Each warrant to purchase shares of Legacy Korro common stock that was outstanding and unexercised as of immediately prior to the Effective Time and after giving effect to the automatic conversion of the Legacy Korro preferred stock was converted into and became a warrant to purchase Frequency common stock, and Frequency assumed each Legacy Korro warrant.</w:t>
      </w:r>
    </w:p>
    <w:p>
      <w:pPr>
        <w:spacing w:after="0" w:line="19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Merger, all then issued and outstanding shares of Legacy Korro’s preferred stock automatically converted into shares of Legacy Korro common stock, and no shares of Legacy Korro preferred stock were outstanding at the Effective Time. In addition, immediately prior to the Merger, Legacy Korro issued approximately $117.3 million of its common stock in a private placement, or the Pre-Closing Financing.</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stockholders of Frequency immediately prior to the Effective Time own approximately 9% of the aggregate number of outstanding shares of Frequency common stock immediately after the Effective Time, and the stockholders of Legacy Korro immediately prior to the Effective Time own approximately 91% of the aggregate number of outstanding shares of Frequency common stock immediately after the Effective Time on a fully-diluted basis, subject to certain assumptions, including, but not limited to (a) a valuation for Frequency equal to its net cash as of the business day immediately prior to the closing date of the Merger, plus $16.9 million, (b) a valuation for Legacy Korro equal to $325.6 million and (c) Legacy Korro issuing approximately $117.3 million of Legacy Korro common stock in the Pre-Closing Financing.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gives effect to the Merger, which has been accounted for as a reverse recapitalization under United States Generally Accepted Accounting Principles, or U.S. GAAP. Legacy Korro is considered the accounting acquirer for financial reporting purposes. This determination was based on the fact that, immediately following the Merger: (i) Legacy Korro stockholders own a substantial majority of the voting rights of the combined organization; (ii) Legacy Korro designated a majority (four of six) of the initial members of the board of directors of the combined organization (and has the right to designate an additional director); and (iii) Legacy Korro’s senior management hold all key positions in senior management of the combined organization. The transaction was accounted for as a reverse recapitalization of Frequency by Legacy Korro because on the effective date of the Merger, the pre-combination assets of Frequency were primarily cash and other non-operating assets. The fair value of any in process research and development assets potentially still remaining as of the combination were de-minimis when compared to the cash and investments obtained through the transaction.</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a result of Legacy Korro being treated as the accounting acquirer, Legacy Korro’s assets and liabilities were recorded at their pre-combination carrying amounts. Frequency’s assets and liabilities were measured and recognized at their fair values, which approximated their carrying values as of the effective date of the Merger, and combined with the assets, liabilities, and results of operations of Legacy Korro after the consummation of the Merger. As a result, upon consummation of the Merger, the historical financial statements of Legacy Korro became the historical consolidated financial statements of the combined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September 30, 2023</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98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Korro Bio,</w:t>
            </w:r>
          </w:p>
        </w:tc>
        <w:tc>
          <w:tcPr>
            <w:tcW w:w="180" w:type="dxa"/>
            <w:vAlign w:val="bottom"/>
          </w:tcPr>
          <w:p>
            <w:pPr>
              <w:spacing w:after="0"/>
              <w:rPr>
                <w:sz w:val="13"/>
                <w:szCs w:val="13"/>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88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Inc.</w:t>
            </w:r>
          </w:p>
        </w:tc>
        <w:tc>
          <w:tcPr>
            <w:tcW w:w="1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46,119</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111,961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199,803</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49,145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111,961</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203,606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12,892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13,435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26,425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95,831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107,025</w:t>
            </w: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249,205</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2,836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5,711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9,648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A,B,C,D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23,206</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8,221</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27,372</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30,228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8,221</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57,600</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(209,321)</w:t>
            </w:r>
          </w:p>
        </w:tc>
        <w:tc>
          <w:tcPr>
            <w:tcW w:w="4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392</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E,F,G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340,344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8,084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352,743</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(303,618)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6"/>
              </w:rPr>
              <w:t>(157,579)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299,659</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(161,538)</w:t>
            </w:r>
          </w:p>
        </w:tc>
        <w:tc>
          <w:tcPr>
            <w:tcW w:w="0" w:type="dxa"/>
            <w:vAlign w:val="bottom"/>
          </w:tcPr>
          <w:p>
            <w:pPr>
              <w:spacing w:after="0"/>
              <w:rPr>
                <w:sz w:val="1"/>
                <w:szCs w:val="1"/>
                <w:color w:val="auto"/>
              </w:rPr>
            </w:pPr>
          </w:p>
        </w:tc>
      </w:tr>
      <w:tr>
        <w:trPr>
          <w:trHeight w:val="230"/>
        </w:trPr>
        <w:tc>
          <w:tcPr>
            <w:tcW w:w="5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(153,257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308,125</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95,831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107,025</w:t>
            </w: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249,205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540" w:right="2040" w:hanging="5417"/>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accompanying notes are an integral part of this unaudited pro forma condensed combined financial information. </w:t>
      </w: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186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and Comprehensive Loss For the Nine Month Period Ended September 30, 2023 (in thousands, except share and per share data)</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3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Korro Bio,</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300" w:type="dxa"/>
            <w:vAlign w:val="bottom"/>
            <w:gridSpan w:val="3"/>
            <w:vMerge w:val="continue"/>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4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18,509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41,828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60,337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26,498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15,813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42,311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(45,007)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(57,641)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(41,931)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(55,746)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(97,677)</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(41,953)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(55,746)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(41,745)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(55,741)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(97,486)</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K</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720,105</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5,583,496</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1,668,432</w:t>
            </w:r>
          </w:p>
        </w:tc>
        <w:tc>
          <w:tcPr>
            <w:tcW w:w="3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7,972,033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540" w:right="2040" w:hanging="5417"/>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accompanying notes are an integral part of this unaudited pro forma condensed combined financial information. </w:t>
      </w: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6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Korro Bio,</w:t>
            </w:r>
          </w:p>
        </w:tc>
        <w:tc>
          <w:tcPr>
            <w:tcW w:w="160" w:type="dxa"/>
            <w:vAlign w:val="bottom"/>
          </w:tcPr>
          <w:p>
            <w:pPr>
              <w:spacing w:after="0"/>
              <w:rPr>
                <w:sz w:val="13"/>
                <w:szCs w:val="13"/>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3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96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49,418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42,201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D,J</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92,024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33,584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3,553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53,934</w:t>
            </w:r>
          </w:p>
        </w:tc>
        <w:tc>
          <w:tcPr>
            <w:tcW w:w="0" w:type="dxa"/>
            <w:vAlign w:val="bottom"/>
          </w:tcPr>
          <w:p>
            <w:pPr>
              <w:spacing w:after="0"/>
              <w:rPr>
                <w:sz w:val="1"/>
                <w:szCs w:val="1"/>
                <w:color w:val="auto"/>
              </w:rPr>
            </w:pPr>
          </w:p>
        </w:tc>
      </w:tr>
      <w:tr>
        <w:trPr>
          <w:trHeight w:val="230"/>
        </w:trPr>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(83,002)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30"/>
        </w:trPr>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(81,582)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(58,032)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(81,716)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(58,030)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K</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701,518</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7"/>
              </w:rPr>
              <w:t>5,135,554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2,094,117</w:t>
            </w:r>
          </w:p>
        </w:tc>
        <w:tc>
          <w:tcPr>
            <w:tcW w:w="3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7,931,189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540" w:right="2040" w:hanging="5417"/>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accompanying notes are an integral part of this unaudited pro forma condensed combined financial information. </w:t>
      </w: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the Transaction</w:t>
      </w:r>
    </w:p>
    <w:p>
      <w:pPr>
        <w:spacing w:after="0" w:line="12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Legacy Korro, Frequency, and Merger Sub, Inc. entered into the Merger Agreement, pursuant to which Merger Sub, a wholly owned subsidiary of Frequency, merged with and into Legacy Korro, with Legacy Korro surviving as the surviving company. As a result of the Merger, Legacy Korro is a wholly owned subsidiary of Frequency. Upon the Effective Time, all shares of Legacy Korro’s common stock (including Korro common stock issued upon the conversion of Legacy Korro preferred stock prior to the Effective Time and in the Pre-Closing Financing, which closed immediately prior to the Effective Time) outstanding and issuable upon exercise of outstanding warrants and option to purchase common stock immediately prior to the Effective Time were converted into the right to receive approximately 7,848,776 shares of Frequency’s common stock. Any Legacy Korro common stock outstanding immediately prior to the Effective Time that was unvested or was subject to a repurchase option or a risk of forfeiture under any applicable agreement with Legacy Korro, then the shares of Frequency common stock issued in exchange for such shares of Legacy Korro common stock were to the same extent unvested and subject to the same repurchase option or risk of forfeiture, and such shares of Frequency common stock were marked with appropriate legends.</w:t>
      </w:r>
    </w:p>
    <w:p>
      <w:pPr>
        <w:spacing w:after="0" w:line="194" w:lineRule="exact"/>
        <w:rPr>
          <w:sz w:val="20"/>
          <w:szCs w:val="20"/>
          <w:color w:val="auto"/>
        </w:rPr>
      </w:pPr>
    </w:p>
    <w:p>
      <w:pPr>
        <w:ind w:left="120" w:right="40" w:firstLine="991"/>
        <w:spacing w:after="0" w:line="312" w:lineRule="auto"/>
        <w:rPr>
          <w:sz w:val="20"/>
          <w:szCs w:val="20"/>
          <w:color w:val="auto"/>
        </w:rPr>
      </w:pPr>
      <w:r>
        <w:rPr>
          <w:rFonts w:ascii="Times New Roman" w:cs="Times New Roman" w:eastAsia="Times New Roman" w:hAnsi="Times New Roman"/>
          <w:sz w:val="17"/>
          <w:szCs w:val="17"/>
          <w:color w:val="auto"/>
        </w:rPr>
        <w:t>Frequency assumed outstanding and unexercised options to purchase shares of Legacy Korro common stock, and in connection with the Merger they were converted into options to purchase shares of Frequency common stock based on the exchange ratio formula in the Merger Agreement.</w:t>
      </w:r>
    </w:p>
    <w:p>
      <w:pPr>
        <w:spacing w:after="0" w:line="14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Legacy Korro determined that the aggregate value of the consideration paid in the Merger to be $8.9 million. The fair value of consideration transferred is based on the number of common shares Frequency stockholders owned upon consummation of the Merger, multiplied by the closing price of Frequency common stock on October 31, 2023. The fair value of consideration transferred is not indicative of the combined entities enterprise value upon consummation of the Merger.</w:t>
      </w:r>
    </w:p>
    <w:p>
      <w:pPr>
        <w:spacing w:after="0" w:line="180"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At the Effective Time, each person who as of immediately prior to the Effective Time was a stockholder of record of Frequency or had the right to receive Frequency’s common stock received a contractual contingent value right, or CVR, issued by Frequency subject to and in accordance with the terms and conditions of a Contingent Value Rights Agreement between Frequency, the holder’s representative and the Rights Agent, or the CVR Agreement, representing the contractual right to receive cash consideration from the post-closing combined company upon the receipt of certain proceeds from a disposition of Frequency’s pre-merger assets, calculated in accordance with the CVR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Pro Forma Presentation</w:t>
      </w:r>
    </w:p>
    <w:p>
      <w:pPr>
        <w:spacing w:after="0" w:line="12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SEC Regulation S-X Article 11, or Article 11. The unaudited pro forma condensed combined statements of operations and comprehensive loss for the nine-month period ended September 30, 2023 and for the year ended December 31, 2022, give effect to the Merger as if it had been consummated on January 1, 2022.</w:t>
      </w:r>
    </w:p>
    <w:p>
      <w:pPr>
        <w:spacing w:after="0" w:line="176"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2023 gives effect to the Merger and combines the historical balance sheets of Frequency and Legacy Korro as of such date. Based on Legacy Korro’s preliminary review of Legacy Korro’s and Frequency’s summary of significant accounting policies and preliminary discussions between management teams of Legacy Korro and Frequency, the nature and amount of any adjustments to the historical financial statements of Frequency to conform its accounting policies to those of Legacy Korro are not expected to be material. Upon completion of the Merger, further review of Frequency’s accounting policies may result in additional revisions to Frequency’s accounting policies and classifications to conform to those of Legacy Korro.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82"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For accounting purposes, Legacy Korro is considered to be the acquiring company and the Merger has been accounted for as a reverse recapitalization of Frequency by Legacy Korro because on the Merger date, the pre-combination assets of Frequency are primarily cash and other non-operating assets.</w:t>
      </w:r>
    </w:p>
    <w:p>
      <w:pPr>
        <w:spacing w:after="0" w:line="17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reflect contingent consideration with respect to the CVR because the value of the corresponding in-process research and development assets value is not expected to be material to Legacy Korro.</w:t>
      </w:r>
    </w:p>
    <w:p>
      <w:pPr>
        <w:spacing w:after="0" w:line="162" w:lineRule="exact"/>
        <w:rPr>
          <w:sz w:val="20"/>
          <w:szCs w:val="20"/>
          <w:color w:val="auto"/>
        </w:rPr>
      </w:pPr>
    </w:p>
    <w:p>
      <w:pPr>
        <w:ind w:left="120" w:right="40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these unaudited pro forma condensed combined financial statements, the purchase price consideration consists of the following (in thousands, except share and per share amounts):</w:t>
      </w:r>
    </w:p>
    <w:p>
      <w:pPr>
        <w:sectPr>
          <w:pgSz w:w="11900" w:h="16838" w:orient="portrait"/>
          <w:cols w:equalWidth="0" w:num="1">
            <w:col w:w="11100"/>
          </w:cols>
          <w:pgMar w:left="320" w:top="482" w:right="479" w:bottom="1440" w:gutter="0" w:footer="0" w:header="0"/>
        </w:sectPr>
      </w:pPr>
    </w:p>
    <w:p>
      <w:pPr>
        <w:spacing w:after="0" w:line="337" w:lineRule="exact"/>
        <w:rPr>
          <w:sz w:val="20"/>
          <w:szCs w:val="20"/>
          <w:color w:val="auto"/>
        </w:rPr>
      </w:pPr>
    </w:p>
    <w:p>
      <w:pPr>
        <w:ind w:left="2060" w:right="20" w:hanging="179"/>
        <w:spacing w:after="0" w:line="261" w:lineRule="auto"/>
        <w:rPr>
          <w:sz w:val="20"/>
          <w:szCs w:val="20"/>
          <w:color w:val="auto"/>
        </w:rPr>
      </w:pPr>
      <w:r>
        <w:rPr>
          <w:rFonts w:ascii="Times New Roman" w:cs="Times New Roman" w:eastAsia="Times New Roman" w:hAnsi="Times New Roman"/>
          <w:sz w:val="18"/>
          <w:szCs w:val="18"/>
          <w:color w:val="auto"/>
        </w:rPr>
        <w:t>Estimated number of shares of the combined company to be owned by Frequency’s stockholders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-273685</wp:posOffset>
            </wp:positionV>
            <wp:extent cx="474916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Multiplied by the assumed price per share of Frequency’s common stock (ii)</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060" w:right="40" w:hanging="179"/>
        <w:spacing w:after="0" w:line="255" w:lineRule="auto"/>
        <w:rPr>
          <w:sz w:val="20"/>
          <w:szCs w:val="20"/>
          <w:color w:val="auto"/>
        </w:rPr>
      </w:pPr>
      <w:r>
        <w:rPr>
          <w:rFonts w:ascii="Times New Roman" w:cs="Times New Roman" w:eastAsia="Times New Roman" w:hAnsi="Times New Roman"/>
          <w:sz w:val="18"/>
          <w:szCs w:val="18"/>
          <w:color w:val="auto"/>
        </w:rPr>
        <w:t>Estimated fair value of Frequency equity awards based on pre-combination service (iii)</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estimated purchase price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10"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738,526</w:t>
      </w:r>
    </w:p>
    <w:p>
      <w:pPr>
        <w:spacing w:after="0" w:line="27" w:lineRule="exact"/>
        <w:rPr>
          <w:sz w:val="20"/>
          <w:szCs w:val="20"/>
          <w:color w:val="auto"/>
        </w:rPr>
      </w:pPr>
    </w:p>
    <w:p>
      <w:pPr>
        <w:ind w:left="280" w:hanging="279"/>
        <w:spacing w:after="0"/>
        <w:tabs>
          <w:tab w:leader="none" w:pos="280" w:val="left"/>
        </w:tabs>
        <w:numPr>
          <w:ilvl w:val="0"/>
          <w:numId w:val="3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12.00</w:t>
      </w:r>
    </w:p>
    <w:p>
      <w:pPr>
        <w:spacing w:after="0" w:line="29" w:lineRule="exact"/>
        <w:rPr>
          <w:rFonts w:ascii="Times New Roman" w:cs="Times New Roman" w:eastAsia="Times New Roman" w:hAnsi="Times New Roman"/>
          <w:sz w:val="17"/>
          <w:szCs w:val="17"/>
          <w:u w:val="single" w:color="auto"/>
          <w:color w:val="auto"/>
        </w:rPr>
      </w:pPr>
    </w:p>
    <w:p>
      <w:pPr>
        <w:ind w:left="280" w:hanging="279"/>
        <w:spacing w:after="0"/>
        <w:tabs>
          <w:tab w:leader="none" w:pos="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8,862</w:t>
      </w:r>
    </w:p>
    <w:p>
      <w:pPr>
        <w:spacing w:after="0" w:line="237" w:lineRule="exact"/>
        <w:rPr>
          <w:sz w:val="20"/>
          <w:szCs w:val="20"/>
          <w:color w:val="auto"/>
        </w:rPr>
      </w:pPr>
    </w:p>
    <w:p>
      <w:pPr>
        <w:ind w:left="500" w:hanging="499"/>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36" w:lineRule="exact"/>
        <w:rPr>
          <w:rFonts w:ascii="Times New Roman" w:cs="Times New Roman" w:eastAsia="Times New Roman" w:hAnsi="Times New Roman"/>
          <w:sz w:val="18"/>
          <w:szCs w:val="18"/>
          <w:color w:val="auto"/>
        </w:rPr>
      </w:pPr>
    </w:p>
    <w:p>
      <w:pPr>
        <w:ind w:left="280" w:hanging="279"/>
        <w:spacing w:after="0"/>
        <w:tabs>
          <w:tab w:leader="none" w:pos="280" w:val="left"/>
        </w:tabs>
        <w:numPr>
          <w:ilvl w:val="0"/>
          <w:numId w:val="3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8,917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4368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41910</wp:posOffset>
            </wp:positionV>
            <wp:extent cx="4368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900" w:space="720"/>
            <w:col w:w="2480"/>
          </w:cols>
          <w:pgMar w:left="320" w:top="482" w:right="479" w:bottom="1440" w:gutter="0" w:footer="0" w:header="0"/>
          <w:type w:val="continuous"/>
        </w:sectPr>
      </w:pPr>
    </w:p>
    <w:p>
      <w:pPr>
        <w:spacing w:after="0" w:line="106" w:lineRule="exact"/>
        <w:rPr>
          <w:sz w:val="20"/>
          <w:szCs w:val="20"/>
          <w:color w:val="auto"/>
        </w:rPr>
      </w:pPr>
    </w:p>
    <w:p>
      <w:pPr>
        <w:ind w:left="540" w:right="200" w:hanging="424"/>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number of shares of common stock of the combined company that Frequency equity holders would own as of the closing pursuant to the Merger Agreement. This amount is calculated, for purposes of this unaudited pro forma condensed combined financial information, based on shares of Frequency’s common stock outstanding as of October 31, 2023. The number of shares reflects the impact of the Frequency 1:50 reverse stock split that was effected prior to consummation of the Merger.</w:t>
      </w:r>
    </w:p>
    <w:p>
      <w:pPr>
        <w:spacing w:after="0" w:line="2"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price per share of Frequency common stock, which is the closing trading price of Frequency’s common stock on October 31, 2023, adjusted to reflect the impact of the Frequency 1:50 reverse stock split.</w:t>
      </w:r>
    </w:p>
    <w:p>
      <w:pPr>
        <w:ind w:left="540" w:hanging="424"/>
        <w:spacing w:after="0" w:line="253"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the assumed Frequency’s equity awards attributable to pre-combination service (which amount is determined based on the closing trading price of Frequency common stock on October 31, 2023, the number of Frequency equity awards outstanding as of the Effective Time, and the period of service provided by the holders of the awards prior to the Effective Time). The following table presents, on a weighted average basis, the assumptions used in the Black-Scholes option-pricing model to determine the acquisition-date fair value of the assumed Frequency’s equity awards:</w:t>
      </w:r>
    </w:p>
    <w:p>
      <w:pPr>
        <w:spacing w:after="0" w:line="23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20" w:right="160" w:firstLine="991"/>
        <w:spacing w:after="0" w:line="272" w:lineRule="auto"/>
        <w:rPr>
          <w:sz w:val="20"/>
          <w:szCs w:val="20"/>
          <w:color w:val="auto"/>
        </w:rPr>
      </w:pPr>
      <w:r>
        <w:rPr>
          <w:rFonts w:ascii="Times New Roman" w:cs="Times New Roman" w:eastAsia="Times New Roman" w:hAnsi="Times New Roman"/>
          <w:sz w:val="17"/>
          <w:szCs w:val="17"/>
          <w:color w:val="auto"/>
        </w:rPr>
        <w:t>Under reverse recapitalization accounting, the assets and liabilities of Frequency were recorded, as of the completion of the Merger, at their fair value. Any difference between the consideration transferred and the fair value of the net assets of Frequency following determination of the actual purchase consideration for Frequency were reflected as an adjustment to additional paid-in capital. Consequently, under reverse recapitalization accounting, the subsequent financial statements of Legacy Korro will reflect the operations of the acquirer for accounting purposes together with a deemed issuance of shares, equivalent to the shares held by the former stockholders of the legal acquirer and a recapitalization of the equity of the accounting acquirer. The accompanying unaudited pro forma condensed combined financial information is derived from the historical financial statements of Frequency and Legacy Korro and include adjustments to give pro forma effect to reflect the accounting for the transaction in accordance with U.S. GAAP. The historical financial statements of Legacy Korro shall become the historical financial statements of the combined company.</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82" w:right="4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Legacy Korro and Frequency may incur significant costs associated with integrating the operations of Legacy Korro and Frequency after the Merger is completed. The unaudited pro forma condensed combined financial information does not reflect the costs of any integration activities or benefits that may result from realization of future cost savings from operating efficiencies expected to result from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Shares of Frequency Common Stock Issued to Legacy Korro Stockholders upon closing of the Merger</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Prior to the Merger, all outstanding shares of Legacy Korro’s preferred stock were converted into Legacy Korro common stock, which was exchanged for shares of Frequency common stock based on the exchange ratio determined in accordance with the Legacy Korro Merger Shares formula described in the Merger Agreement. For purposes of the unaudited pro forma condensed combined financial information, the shares of Frequency common stock to be issued to holders of the Legacy Korro common stock was derived on a fully-diluted basis as of October 31, 2023 using the following stipulated valuations: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(in thousands)</w:t>
            </w:r>
          </w:p>
        </w:tc>
        <w:tc>
          <w:tcPr>
            <w:tcW w:w="112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Allocation Percentage</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Korro</w:t>
            </w: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325,639</w:t>
            </w:r>
          </w:p>
        </w:tc>
        <w:tc>
          <w:tcPr>
            <w:tcW w:w="112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66.9195%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Pre-Closing Financing</w:t>
            </w:r>
          </w:p>
        </w:tc>
        <w:tc>
          <w:tcPr>
            <w:tcW w:w="520" w:type="dxa"/>
            <w:vAlign w:val="bottom"/>
          </w:tcPr>
          <w:p>
            <w:pPr>
              <w:spacing w:after="0"/>
              <w:rPr>
                <w:sz w:val="18"/>
                <w:szCs w:val="18"/>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117,250</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24.0951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Frequency</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8.9854</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 valuation</w:t>
            </w: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80" w:type="dxa"/>
            <w:vAlign w:val="bottom"/>
            <w:vMerge w:val="continue"/>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486,613</w:t>
            </w:r>
          </w:p>
        </w:tc>
        <w:tc>
          <w:tcPr>
            <w:tcW w:w="1120" w:type="dxa"/>
            <w:vAlign w:val="bottom"/>
            <w:vMerge w:val="continue"/>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Legacy Frequency had a total of 774,869 outstanding shares (as defined in the Merger Agreement). Based upon Legacy Frequency’s outstanding shares, the table above and the terms of the Merger Agreement, a total of 8,623,645 shares of Frequency common stock (774,869 divided by 8.9854%) of which 7,848,776 was to be allocated to Legacy Korro securityholders, and Pre-Closing Financing securityholders as follows (ignoring rounding of fractional shares):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Post-Merger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Frequency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52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220" w:type="dxa"/>
            <w:vAlign w:val="bottom"/>
            <w:gridSpan w:val="3"/>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5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Reserved for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Legacy Korro common stock, convertible preferred stock and common</w:t>
            </w: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issuable upon the exercise of outstanding options and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8,623,645</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66.9195%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5,770,900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Korro common stock to be issued upon consummation of</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Pre-Closing Financing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8,623,645</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24.0951%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2,077,876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Frequency common stock issued (or reserved) to Legacy</w:t>
            </w: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Korro stockholders upon closing of the Merger</w:t>
            </w: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7,848,776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The shares of Frequency common stock issued to Legacy Korro’s securityholders have been adjusted to give effect to the Frequency 1:50 reverse stock split.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Adjustments to Unaudited Pro Forma Condensed Combined Financial Statements</w:t>
      </w:r>
    </w:p>
    <w:p>
      <w:pPr>
        <w:spacing w:after="0" w:line="121" w:lineRule="exact"/>
        <w:rPr>
          <w:sz w:val="20"/>
          <w:szCs w:val="20"/>
          <w:color w:val="auto"/>
        </w:rPr>
      </w:pPr>
    </w:p>
    <w:p>
      <w:pPr>
        <w:ind w:left="120" w:right="680" w:firstLine="991"/>
        <w:spacing w:after="0" w:line="282" w:lineRule="auto"/>
        <w:rPr>
          <w:sz w:val="20"/>
          <w:szCs w:val="20"/>
          <w:color w:val="auto"/>
        </w:rPr>
      </w:pPr>
      <w:r>
        <w:rPr>
          <w:rFonts w:ascii="Times New Roman" w:cs="Times New Roman" w:eastAsia="Times New Roman" w:hAnsi="Times New Roman"/>
          <w:sz w:val="18"/>
          <w:szCs w:val="18"/>
          <w:color w:val="auto"/>
        </w:rPr>
        <w:t>Adjustments included in the column under the heading “Pro Forma Accounting Adjustments” are primarily based on information contained within the Merger Agreement.</w:t>
      </w:r>
    </w:p>
    <w:p>
      <w:pPr>
        <w:spacing w:after="0" w:line="162" w:lineRule="exact"/>
        <w:rPr>
          <w:sz w:val="20"/>
          <w:szCs w:val="20"/>
          <w:color w:val="auto"/>
        </w:rPr>
      </w:pPr>
    </w:p>
    <w:p>
      <w:pPr>
        <w:jc w:val="both"/>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Given Legacy Korro’s history of net losses and valuation allowance, management assumed a statutory tax rate of 0%. Therefore, the pro forma adjustments to the condensed combined statements of operations and comprehensive loss resulted in no additional income tax adjustment to the unaudited pro forma financials.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82"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unaudited pro forma adjustments included in the unaudited pro forma condensed combined financial information are as follows:</w:t>
      </w:r>
    </w:p>
    <w:p>
      <w:pPr>
        <w:spacing w:after="0" w:line="131" w:lineRule="exact"/>
        <w:rPr>
          <w:sz w:val="20"/>
          <w:szCs w:val="20"/>
          <w:color w:val="auto"/>
        </w:rPr>
      </w:pPr>
    </w:p>
    <w:p>
      <w:pPr>
        <w:ind w:left="540" w:right="60" w:hanging="424"/>
        <w:spacing w:after="0" w:line="254"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net cash proceeds of $112.0 million from the sale and issuance of 42,176,255 shares of Legacy Korro common stock at a purchase price of $2.78 per share in the Pre-Closing Financing. Legacy Korro expects to incur $6.2 million of direct and incremental transaction costs in connection with the Pre-Closing Financing. Of the $6.2 million of Pre-Closing Financing costs, $5.2 million relate to amounts netted against cash proceeds. As $0.7 million of pre-closing financing costs were included in the historical balance sheet within other non-current assets as of September 30, 2023, an adjustment was recorded to decrease other non-current assets by $0.7 million. Adjustments were recorded to increase accrued liabilities by $0.3 million, and to decrease additional paid in capital by $6.2 million in the unaudited pro forma condensed combined balance sheet. As the Merger has been accounted for as a reverse recapitalization equivalent to the issuance of equity for the net assets, primarily cash and investments, of Frequency, these direct and incremental costs are treated as a reduction of the proceeds received resulting in an adjustment to additional paid in capital of $111.0 million.</w:t>
      </w:r>
    </w:p>
    <w:p>
      <w:pPr>
        <w:spacing w:after="0" w:line="93" w:lineRule="exact"/>
        <w:rPr>
          <w:rFonts w:ascii="Times New Roman" w:cs="Times New Roman" w:eastAsia="Times New Roman" w:hAnsi="Times New Roman"/>
          <w:sz w:val="18"/>
          <w:szCs w:val="18"/>
          <w:color w:val="auto"/>
        </w:rPr>
      </w:pPr>
    </w:p>
    <w:p>
      <w:pPr>
        <w:ind w:left="540" w:right="80" w:hanging="424"/>
        <w:spacing w:after="0" w:line="272" w:lineRule="auto"/>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transaction costs of $6.5 million that have been incurred by Legacy Korro in connection with the Merger, such as legal fees, accounting expenses and consulting fees. As $2.9 million of these costs were included in the historical balance sheet within other non-current assets as of September 30, 2023, of which $2.0 million of these transaction costs were paid during the period, $0.2 million has been included in accounts payable and $0.7 million has been included in accrued expenses, adjustments were recorded to decrease other non-current assets by $2.9 million, to increase accrued liabilities by $3.6 million, and to decrease additional paid-in capital by $6.5 million in the unaudited pro forma condensed combined balance sheet. As the Merger has been accounted for as a reverse recapitalization equivalent to the issuance of equity for the net assets, primarily cash and investments, of Frequency, these direct and incremental costs are treated as a reduction of the net proceeds received within additional paid-in capital. Note there are additional transaction costs related to Pre-Closing Financing further discussed in Note A.</w:t>
      </w:r>
    </w:p>
    <w:p>
      <w:pPr>
        <w:spacing w:after="0" w:line="77" w:lineRule="exact"/>
        <w:rPr>
          <w:rFonts w:ascii="Times New Roman" w:cs="Times New Roman" w:eastAsia="Times New Roman" w:hAnsi="Times New Roman"/>
          <w:sz w:val="17"/>
          <w:szCs w:val="17"/>
          <w:color w:val="auto"/>
        </w:rPr>
      </w:pPr>
    </w:p>
    <w:p>
      <w:pPr>
        <w:ind w:left="540" w:hanging="424"/>
        <w:spacing w:after="0" w:line="25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transaction costs of $6.1 million that have been incurred by Frequency in connection with the Merger, such as adviser fees, audit and legal fees, and printing fees. As $4.1 million of these transaction costs were included in the historical balance sheet as of September 30, 2023, of which $3.5 million of these transaction costs has been included in accrued expenses and $0.6 million were paid during the period, adjustments were recorded of $2.0 million as an increase in accrued liabilities and accumulated deficit in the unaudited pro forma condensed combined balance sheet (see Note G). The $6.1 million of expenses are not reflected in the unaudited pro forma condensed combined income statement as they were not recorded by Legacy Korro as the accounting acquirer.</w:t>
      </w:r>
    </w:p>
    <w:p>
      <w:pPr>
        <w:spacing w:after="0" w:line="92"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expense of $3.7 million related to severance resulting from employment agreements entered into by Frequency in contemplation of the Merger is reflected as a non-recurring increase to accumulated deficit and accrued liabilities in the unaudited pro forma condensed combined balance sheet. In the unaudited pro forma condensed combined statement of operations and comprehensive loss for the year ended December 31, 2022, $0.3 million and $3.4 million is reflected as research and development and general and administrative expense, respectively.</w:t>
      </w:r>
    </w:p>
    <w:p>
      <w:pPr>
        <w:spacing w:after="0" w:line="85"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conversion of 97,714,516 shares of Legacy Korro’s convertible preferred stock into shares of Legacy Korro’s common stock immediately prior to the Merger on a one-to-one basis. The conversion of Legacy Korro’s convertible preferred stock into common stock results in an increase of $0.1 million common stock par value and an increase of $209.2 million to additional paid-in capital.</w:t>
      </w:r>
    </w:p>
    <w:p>
      <w:pPr>
        <w:spacing w:after="0" w:line="81" w:lineRule="exact"/>
        <w:rPr>
          <w:rFonts w:ascii="Times New Roman" w:cs="Times New Roman" w:eastAsia="Times New Roman" w:hAnsi="Times New Roman"/>
          <w:sz w:val="18"/>
          <w:szCs w:val="18"/>
          <w:color w:val="auto"/>
        </w:rPr>
      </w:pPr>
    </w:p>
    <w:p>
      <w:pPr>
        <w:ind w:left="540" w:right="100" w:hanging="424"/>
        <w:spacing w:after="0" w:line="258"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exchange of 6,006,125 outstanding shares of Legacy Korro’s common stock, 97,714,516 shares of converted preferred stock into common stock, and 42,176,255 shares of Legacy Korro common stock issued in the Pre-Closing Financing into 7,249,325 shares of Frequency’s common stock as of September 30, 2023, based on the assumed exchange ratio for purposes of these unaudited pro forma condensed combined financial information. The exchange of Legacy Korro common stock for Frequency common stock results in an increase of $0.3 million common stock par value and a decrease of $0.3 million to additional paid-in capital.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elimination of Frequency’s historical equity, including 738,526 outstanding shares of common stock, adjusted to give effect to the Frequency 1:50 reverse stock split, at their par value of $0.001, $305.7 million of accumulated deficit, including Frequency’s transaction costs of $2.0 million (see Note C), $340.3 million additional paid-in capital, less than $0.1 million of accumulated other comprehensive income for the period ended September 30, 2023, and record the effect of the reverse recapitalization of Frequency for a total of $34.7 million, which is the net assets of Frequency as of the time of the Merger.</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Pre-combination Frequency additional paid-in capital:</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Frequency additional paid-in capital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(340,344)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pre-combination Frequency additional paid-in capital</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(340,344)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Pre-combination Frequency accumulated deficit: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Frequency transaction costs (Note C)</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Frequency accumulated deficit</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pre-combination Frequency accumulated deficit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Frequency common stock</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Frequency accumulated other comprehensive income</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adjustment to historical equity (net assets of Frequency)</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recorded to additional paid-in capital as noted above, include: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pre-combination Frequency additional paid-in capital (Note G)</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$(340,344)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Record purchase of Frequency historical net assets (Note G)</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34,704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of Legacy Korro (Note B)</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Legacy Korro common stock (Note E &amp; F)</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208,928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post-combination stock compensation expense (Note J)</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Pre-Closing Financing (Note A)</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111,030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Frequency lease adjustment (Note L)</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8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Total adjustment to additional paid-in capital</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8,084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p>
        </w:tc>
        <w:tc>
          <w:tcPr>
            <w:tcW w:w="8140" w:type="dxa"/>
            <w:vAlign w:val="bottom"/>
            <w:gridSpan w:val="2"/>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The pro forma adjustments recorded to accumulated deficit as noted above, include:</w:t>
            </w: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vMerge w:val="continue"/>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historical Frequency accumulated deficit (Note G)</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Severance costs of Frequency employees (Note D)</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post-combination stock compensation expense (Note J)</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Frequency transaction costs (Note C)</w:t>
            </w:r>
          </w:p>
        </w:tc>
        <w:tc>
          <w:tcPr>
            <w:tcW w:w="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 to accumulated deficit</w:t>
            </w: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140" w:type="dxa"/>
            <w:vAlign w:val="bottom"/>
            <w:gridSpan w:val="2"/>
            <w:vMerge w:val="restart"/>
          </w:tcPr>
          <w:p>
            <w:pPr>
              <w:jc w:val="right"/>
              <w:ind w:right="271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82" w:right="5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non-recurring stock-based compensation of $0.3 million, which is reflected as an increase in additional paid-in capital and accumulated deficit in the unaudited pro forma condensed combined balance sheet related to the acceleration of vesting upon the change of control and termination of employment for certain awards. In the unaudited pro forma condensed combined statement of operations and comprehensive loss for the year ended December 31, 2022, $0.1 million and $0.2 million is reflected as research and development and general and administrative expense, respectively.</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combined basic and diluted earnings per share have been adjusted to reflect the pro forma net income for the year ended</w:t>
      </w:r>
    </w:p>
    <w:p>
      <w:pPr>
        <w:spacing w:after="0" w:line="27" w:lineRule="exact"/>
        <w:rPr>
          <w:rFonts w:ascii="Times New Roman" w:cs="Times New Roman" w:eastAsia="Times New Roman" w:hAnsi="Times New Roman"/>
          <w:sz w:val="18"/>
          <w:szCs w:val="18"/>
          <w:color w:val="auto"/>
        </w:rPr>
      </w:pPr>
    </w:p>
    <w:p>
      <w:pPr>
        <w:ind w:left="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2022, and the nine-months ended September 30, 2023. In addition, the number of shares used in calculating the pro forma combined basic and diluted net loss per share has been adjusted to reflect the total number of shares of common stock of the combined company for the respective periods. As the combined organization is in a net loss position for both periods presented, any adjustment for potentially dilutive shares would be anti-dilutive, and as such basic and diluted loss per share are the same for both periods presented. The exchange ratio and shares of Frequency common stock issued to Legacy Korro’s securityholders have been adjusted to give effect to the Frequency 1:50 reverse stock split. For the year ended December 31, 2022, and the nine-months ended September 30, 2023, the pro forma weighted average shares outstanding has been calculated as follows: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178"/>
        </w:trPr>
        <w:tc>
          <w:tcPr>
            <w:tcW w:w="55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Legacy Korro weighted-average shares of common stock outstanding-</w:t>
            </w: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5,583,496</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5,135,554</w:t>
            </w: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Legacy Korro’s convertible preferred stock assuming</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as of January 1, 2022</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97,714,516</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97,714,516</w:t>
            </w: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Legacy Korro pre-closing financing shares assuming</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consummation as of January 1, 2022</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42,176,255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42,176,255</w:t>
            </w: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prior to exchange ratio</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145,474,267</w:t>
            </w:r>
          </w:p>
        </w:tc>
        <w:tc>
          <w:tcPr>
            <w:tcW w:w="3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145,026,325</w:t>
            </w:r>
          </w:p>
        </w:tc>
        <w:tc>
          <w:tcPr>
            <w:tcW w:w="80" w:type="dxa"/>
            <w:vAlign w:val="bottom"/>
          </w:tcPr>
          <w:p>
            <w:pPr>
              <w:spacing w:after="0"/>
              <w:rPr>
                <w:sz w:val="19"/>
                <w:szCs w:val="19"/>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exchange ratio to historical Legacy Korro weighted-</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0.049688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0.049688</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Adjusted Legacy Korro weighted-average shares outstanding</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7,228,325</w:t>
            </w:r>
          </w:p>
        </w:tc>
        <w:tc>
          <w:tcPr>
            <w:tcW w:w="3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7,206,068</w:t>
            </w:r>
          </w:p>
        </w:tc>
        <w:tc>
          <w:tcPr>
            <w:tcW w:w="80" w:type="dxa"/>
            <w:vAlign w:val="bottom"/>
          </w:tcPr>
          <w:p>
            <w:pPr>
              <w:spacing w:after="0"/>
              <w:rPr>
                <w:sz w:val="19"/>
                <w:szCs w:val="19"/>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Historical Frequency weighted-average shares of common stock</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effected for reverse stock-split</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720,105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701,518</w:t>
            </w: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Frequency common shares related to stock awards assuming</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vesting as of January 1, 2022</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23,603</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23,603</w:t>
            </w:r>
          </w:p>
        </w:tc>
      </w:tr>
      <w:tr>
        <w:trPr>
          <w:trHeight w:val="198"/>
        </w:trPr>
        <w:tc>
          <w:tcPr>
            <w:tcW w:w="55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pro forma combined weighted average shares of common stock</w:t>
            </w: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7,972,033</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7,931,189</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77" w:lineRule="auto"/>
        <w:tabs>
          <w:tab w:leader="none" w:pos="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Frequency’s modification of its existing lease agreement with HCP/KING 75 Hayden LLC on August 11, 2023 to terminate the lease effective January 31, 2024. As the remaining lease term at closing of the Merger is less than 12 months, Legacy Korro, as the accounting acquirer, applied its practical expedient to account for the lease as a short-term lease. For the purpose of the unaudited pro forma condensed balance sheet, Frequency’s modification of its lease is reflected with adjustments to decrease operating lease right-of-use assets by $1.3 million, decrease operating lease liabilities, current portion by $1.4 million, and increase additional paid-in capital by $0.1 million as of September 30, 2023.</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82"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KORRO BIO MANAGEMENT’S DISCUSSION AND ANALYSIS OF FINANCIAL CONDITION AND RESULTS OF OPERATIONS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“Korro Bio” and the “Company” refer to Legacy Korro and its consolidated subsidiaries.</w:t>
      </w:r>
    </w:p>
    <w:p>
      <w:pPr>
        <w:spacing w:after="0" w:line="345"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the section entitled “Unaudited Pro Forma Condensed Combined Financial Information” and our financial statements and notes thereto included elsewhere in this prospectus. In addition to historical financial information, this discussion contains forward-looking statements based upon our current expectations that involve risks and uncertainties. See the section entitled “Cautionary Note Regarding Forward-Looking Statements.” Our actual results could differ materially from such forward-looking statements as a result of various factors, including those set forth under “Risk Factors” and elsewhere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creating transformative genetic medicines targeted to treat both rare and highly prevalent diseases. Our initial focus is to bring additional precision and tunability to genetic medicines by developing therapies based on editing RNA instead of DNA, which is expected to lead to an improved safety profile and increased clinical activity and specificity.</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generating a portfolio of differentiated programs that are designed to harness the body’s natural RNA editing process to effect a precise yet transient single base edit.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platform with precedented delivery modalities, manufacturing know-how, and established regulatory pathways of approved oligonucleotide drugs. However, the scientific evidence to support the feasibility of developing product candidates based on our RNA editing technology is both preliminary and limited. Moreover, regulators have not yet established any definitive guidelines related to overall development considerations for RNA editing therapies and no clinical data has been generated to date.</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versatility of RNA editing combined with our OPERA platform broadens the therapeutic target space significantly. While our approach can be used to repair pathogenic single nucleotide variants, or SNVs, as demonstrated by our most advanced program, our Alpha-1 Antitrypsin Deficiency,</w:t>
      </w: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or AATD, product candidate, we can also engineer de novo SNVs and change amino acids on proteins to endow them with desired properties while preserving their broader functional capabilities, as exemplified by three of our other programs (severe Alcoholic Hepatitis, or SAH, amyotrophic lateral sclerosis, or ALS, Pain). In preclinical studies, we have demonstrated that single RNA changes can disrupt protein-protein interactions, prevent protein aggregation, selectively modulate ion channels and activate kinases. These modification approaches can unlock validated target classes that have historically been difficult to drug, enabling us to pursue a broad range of diseases traditionally out-of-scope for other genetic medicine approaches and current traditional drug modalities.</w:t>
      </w:r>
    </w:p>
    <w:p>
      <w:pPr>
        <w:spacing w:after="0" w:line="19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most advanced program is a product candidate for AATD where, using our proprietary RNA editing approach, we are repairing a pathogenic variant on RNA. Our product candidate has the potential to be disease-modifying and provide a differentiated therapeutic option.</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Since inception, we have focused primarily on organizing and staffing our company, business planning, raising capital, securing related intellectual property, and conducting research and development activities for our potential programs and product candidates. Since inception, we have funded our operations primarily through the private placement of our equity securities. To date, we have raised approximately $223.6 million of aggregate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82"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gross proceeds from the sale of our convertible preferred stock, and $117.3 million from the sale of shares of common stock issued in a private placement that closed immediately prior to the Merger (as defined below), or the Pre-Closing Financing.</w:t>
      </w:r>
    </w:p>
    <w:p>
      <w:pPr>
        <w:spacing w:after="0" w:line="162"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We have incurred significant operating losses since inception. Our net losses were $55.7 million and $42.0 million for the nine months ended September 30, 2023 and 2022, respectively, and $58.0 million and $22.0 million for the years ended December 31, 2022 and 2021, respectively. We had an accumulated deficit of $157.6 million as of September 30, 2023. We expect to continue to incur significant and increasing expenses and operating losses and negative operating cash flows for the foreseeable future as we continue our research and development efforts, advance product candidates through clinical stages, and seek regulatory approvals for our pipeline candidates. As a result of the Merger (as defined below), we also expect to incur additional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initiation and conduct of any clinical trials, and our expenditures on other research and development activities, including the expansion of our pipeline.</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obtains regulatory approval for our product candidates, if ever, and as appropriate, move pipeline candidates into the clinic and complete clinical development. We have yet to commence clinical trials on any of our program candidates. If we obtain regulatory approval for our product candidates and do not enter into third-party commercialization partnerships, we expects to incur significant expenses related to developing commercialization capabilities to support product sales, marketing, manufacturing and distribution activities. As a result, we will need substantial additional funding to support our continuing operations and pursue our development and growth strategy. Until we can generate significant revenue from product sales, if ever, we expect to finance our operations through a combination of public or private offerings of securities,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&amp; Pre-Closing Financing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July 14, 2023, we entered into the Merger Agreement with Frequency Therapeutics, Inc., or Frequency, and Frequency Merger Sub, Inc., or Merger Sub. Pursuant to the Merger Agreement, on November 3, 2023, or the Closing Date, following approval by our stockholders and Frequency, Merger Sub merged with and into us, or the Merger, with us continuing as a wholly owned subsidiary of Frequency and the surviving corporation of the Merger. The Merger is intended to qualify as a “reorganization” within the meaning of Section 368(a) of the Internal Revenue Code of 1986, as amended. The Merger Agreement was approved by the members of our board of directors and Frequency.</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execution of the Merger Agreement, certain new and current investors agreed to purchase shares of our common stock at $2.78 per share for the aggregate amount of $117.3 million in the Pre-Closing Financing. The Pre-Closing Financing was contingent on and closed immediately prior to consummation of the Merger.</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immediately prior to the Closing Date, each then outstanding share of our common stock (including common stock issued upon the conversion of our preferred stock but excluding the common stock issued in the Pre-Closing Financing) converted into the right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82"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receive 5,161,114 shares of Frequency’s common stock calculated in accordance with the Merger Agreement (which takes into account the 1-for-50 reverse stock split of Frequency’s common stock effected immediately prior to the Merger).</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Shares of our common stock issued pursuant to the Pre-Closing Financing were converted into the right to receive 2,077,864 shares of Frequency common stock calculated in accordance with Merger Agreement at the effective time of the Merger (which takes into account the 1-for-50 reverse stock split of Frequency’s common stock effected immediately prior to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of novel genetic medicines and the development of our product candidates, salaries and benefits, and third-party license fees. Our expenses research and development costs as incurred, which include:</w:t>
      </w:r>
    </w:p>
    <w:p>
      <w:pPr>
        <w:spacing w:after="0" w:line="81" w:lineRule="exact"/>
        <w:rPr>
          <w:sz w:val="20"/>
          <w:szCs w:val="20"/>
          <w:color w:val="auto"/>
        </w:rPr>
      </w:pPr>
    </w:p>
    <w:p>
      <w:pPr>
        <w:ind w:left="1540" w:right="640" w:hanging="439"/>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and other related costs for those employees involved in research and development efforts;</w:t>
      </w:r>
    </w:p>
    <w:p>
      <w:pPr>
        <w:spacing w:after="0" w:line="67"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with consultants;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allocated expenses for facilities.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external research and development expenses consist primarily of fees paid to CROs and outside consultants in connection with our preclinical development activities. Our external research and development expenses also include fees incurred under license agreements. As a pre-clinical company, we do not yet track these external research and development costs on a program-by-program basis. We plan to track program costs upon nomination of a development candidate or filing of an Investigational New Drug, or IND, application.</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characterize research and development costs incurred prior to the identification of a product candidate as discovery costs. We use internal resources primarily to conduct our research and discovery activities as well as for managing our preclinical development activities.</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Our plan to substantially increase our research and development expenses for the foreseeable future as we continues the development of our product candidates, conducts discovery and research activities for our preclinical programs, and expands our pipeline.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82"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81" w:lineRule="exact"/>
        <w:rPr>
          <w:sz w:val="20"/>
          <w:szCs w:val="20"/>
          <w:color w:val="auto"/>
        </w:rPr>
      </w:pPr>
    </w:p>
    <w:p>
      <w:pPr>
        <w:ind w:left="1540" w:right="40" w:hanging="439"/>
        <w:spacing w:after="0" w:line="282"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 enabling studies;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the planned start of clinical trials or require us to conduct clinical trials or other testing beyond those that we currently expect or if we experience significant delays in enrollment in any planned clinical trial, we could be required to expend significant additional financial resources and time on the completion of clinical development of that product candidate.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for our executive and administrative functions. General and administrative expenses also include professional services, including legal, accounting, auditing, tax services and other consulting fees. General and administrative expenses also include facility costs not otherwise included in research and development expenses.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income, net primarily consists of interest income on our short-term investments. For the year ended December 31, 2021, we also recorded a gain pertaining to a change in the fair value of the preferred stock tranche liability that was originally recognized in 2020 and subsequently extinguished in July 2021 in connection with the purchase of additional shares of Series A convertible preferred stock, or the Series A Preferred Stock, by existing investors.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82"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$ 41,828</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$ 30,052</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(57,641)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(42,537)</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(55,746)</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(41,998)</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$12,768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supplies &amp; consumables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Facilities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Sponsored research and license fees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Consulting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41,828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30,052</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940" w:firstLine="440"/>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increased by $11.8 million from $30.1 million for the nine months ended September 30, 2022 to $41.8 million for the nine months ended September 30, 2023. The increase in research and development expenses was primarily driven by:</w:t>
      </w:r>
    </w:p>
    <w:p>
      <w:pPr>
        <w:spacing w:after="0" w:line="45" w:lineRule="exact"/>
        <w:rPr>
          <w:sz w:val="20"/>
          <w:szCs w:val="20"/>
          <w:color w:val="auto"/>
        </w:rPr>
      </w:pPr>
    </w:p>
    <w:p>
      <w:pPr>
        <w:ind w:left="1540" w:hanging="439"/>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of increased external research and development expense due to increased CRO support and in vivo studies;</w:t>
      </w:r>
    </w:p>
    <w:p>
      <w:pPr>
        <w:spacing w:after="0" w:line="130"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of increased personnel-related expenses driven by an increase in headcount to support the expansion of our research and development function;</w:t>
      </w:r>
    </w:p>
    <w:p>
      <w:pPr>
        <w:spacing w:after="0" w:line="67"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of increased facilities-related costs primarily due to the expansion of our mixed-use office spaces and depreciation of lab equipment; and</w:t>
      </w:r>
    </w:p>
    <w:p>
      <w:pPr>
        <w:spacing w:after="0" w:line="67"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of increased sponsored research and license fees primarily attributable to an upfront cash payment made to a third-party in March 2023 upon execution of a collaboration and license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82"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costs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15,813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12,485</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$3.3 million from $12.5 million for the nine months ended September 30, 2022 to $15.8 million for the nine months ended September 30, 2023. The increase in general and administrative expenses was primarily driven by $2.5 million of increased professional service fees, including intellectual property costs, audit and advisory fees, and recruiting fees.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Other income, net increased by approximately $1.4 million from $0.5 million for the nine months ended September 30, 2022 to $1.9 million for the nine months ended September 30, 2023. The increase in other income, net was primarily attributable to increased rates of return on our short-term investments as a result of rising interest 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60" w:type="dxa"/>
            <w:vAlign w:val="bottom"/>
            <w:gridSpan w:val="5"/>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Pr>
          <w:p>
            <w:pPr>
              <w:spacing w:after="0"/>
              <w:rPr>
                <w:sz w:val="15"/>
                <w:szCs w:val="15"/>
                <w:color w:val="auto"/>
              </w:rPr>
            </w:pPr>
          </w:p>
        </w:tc>
        <w:tc>
          <w:tcPr>
            <w:tcW w:w="2060" w:type="dxa"/>
            <w:vAlign w:val="bottom"/>
            <w:gridSpan w:val="5"/>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78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$ 42,201</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$ 23,805</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7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(58,998)</w:t>
            </w:r>
          </w:p>
        </w:tc>
        <w:tc>
          <w:tcPr>
            <w:tcW w:w="11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(35,494)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7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income, net</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(58,032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(21,959</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(36,073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8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86</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2022 and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$13,868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supplies &amp; consumables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Facilities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Sponsored research and license fees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42,201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23,805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$18.4 million from $23.8 million for the year ended December 31, 2021 to $42.2 million for the year ended December 31, 2022. The increase in research and development expenses was primarily attributable to the following:</w:t>
      </w:r>
    </w:p>
    <w:p>
      <w:pPr>
        <w:spacing w:after="0" w:line="67" w:lineRule="exact"/>
        <w:rPr>
          <w:sz w:val="20"/>
          <w:szCs w:val="20"/>
          <w:color w:val="auto"/>
        </w:rPr>
      </w:pPr>
    </w:p>
    <w:p>
      <w:pPr>
        <w:ind w:left="1540" w:right="16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 million of increased external research and development expenses primarily attributable to increased oligonucleotide synthesis costs, screening and sequencing expenses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w:t>
      </w:r>
    </w:p>
    <w:p>
      <w:pPr>
        <w:spacing w:after="0" w:line="67"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of increased personnel-related expenses driven by an increase in headcount to support the expansion of our research and development function;</w:t>
      </w:r>
    </w:p>
    <w:p>
      <w:pPr>
        <w:spacing w:after="0" w:line="67" w:lineRule="exact"/>
        <w:rPr>
          <w:rFonts w:ascii="Times New Roman" w:cs="Times New Roman" w:eastAsia="Times New Roman" w:hAnsi="Times New Roman"/>
          <w:sz w:val="18"/>
          <w:szCs w:val="18"/>
          <w:color w:val="auto"/>
        </w:rPr>
      </w:pPr>
    </w:p>
    <w:p>
      <w:pPr>
        <w:ind w:left="1540" w:right="74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of increased lab supplies and consumables, primarily attributable to consumables purchased for screening and sequencing;</w:t>
      </w:r>
    </w:p>
    <w:p>
      <w:pPr>
        <w:spacing w:after="0" w:line="67"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of increased facility-related expense due to the depreciation of lab equipment and leasehold improvements and the expansion of our mixed-use office space;</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increased consulting costs to support the overall growth in research and development activities; and</w:t>
      </w:r>
    </w:p>
    <w:p>
      <w:pPr>
        <w:spacing w:after="0" w:line="130"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increased other research and development expenses, including lab maintenance, shipping fees and software licensing fees.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2022 and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16,797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8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$5.1 million from $11.7 million for the year ended December 31, 2021 to $16.8 million for the year ended December 31, 2022. The increase in general and administrative expenses was primarily attributable to the following:</w:t>
      </w:r>
    </w:p>
    <w:p>
      <w:pPr>
        <w:spacing w:after="0" w:line="67" w:lineRule="exact"/>
        <w:rPr>
          <w:sz w:val="20"/>
          <w:szCs w:val="20"/>
          <w:color w:val="auto"/>
        </w:rPr>
      </w:pPr>
    </w:p>
    <w:p>
      <w:pPr>
        <w:ind w:left="1540" w:hanging="439"/>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increased personnel-related expenses driven by an increase in headcount;</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increased professional service fees primarily attributable to recruiting efforts and increased intellectual property legal fees;</w:t>
      </w:r>
    </w:p>
    <w:p>
      <w:pPr>
        <w:spacing w:after="0" w:line="67"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increased other general and administrative expense primarily attributable to increased software licensing fees and corporate expenses;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increased facilities expenses primarily attributable to the expansion of our mixed-use office space.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Total other income, net decreased by $12.5 million from $13.5 million for the year ended December 31, 2021 to $1.0 million for the year ended December 31, 2022. This decrease was primarily attributable to the recognition of a $13.5 million gain pertaining to a change in the fair value of the preferred stock tranche liability that was originally recognized in 2020 and subsequently extinguished in July 2021 in connection with the purchase of Series A Preferred Stock by existing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it has generated recurring net losses. We have not yet commercialized any product and we do not expect to generate revenue from sales of any products for several years, if at all. Since inception, we have funded our operations primarily through proceeds from the issuance of convertible preferred stock and common stock. To date, we have raised approximately $223.6 million of aggregate gross proceeds from the sale of our convertible preferred stock and $117.3 million from the sale of shares of common stock issued in the Pre-Closing Financing. As of September 30, 2023, we had cash, cash equivalents and short- term investments of $46.1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as of September 30, 2023, had an accumulated deficit of $157.6 million. We expect to continue to incur significant expenses, operating losses, and negative operating cash flows for the foreseeable future. In addition, we have not yet commercialized any product and we do not expect to generate revenue from sales of any products for several years, if at all.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2023, we had cash and cash equivalents of $46.1 million. On November 3, 2023, we issued additional shares of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in the Pre-Closing Financing for aggregate proceeds of $117.3 million. We expect that our cash and cash equivalents outstanding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2023, together with the proceeds from the sale of shares of common stock issued in the Pre-Closing Financing on November 3, 2023,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cash received from the Merger of $26.9 million will be sufficient to fund our operating expenses and capital expenditure requirements at least into 2026.</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and we could expend our capital resources sooner than we expect. Korro Bio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also pursue additional cash resources through public or private equity, collaborations or debt financings.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operating losses, and negative operating cash flows for the foreseeable future as we continue our novel genetic medicine discovery efforts, advance our pipeline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82"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candidates into the clinic and through clinical trials, seek regulatory approval of our product candidates and pursue commercialization of any approved product candidates. In addition, as a result of the Merger, we expect to incur additional costs associated with operating as a public company.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candidates, we are unable to estimate the exact amount of our working capital requirements.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OPERA platform and discover additional novel genetic medicines;</w:t>
      </w:r>
    </w:p>
    <w:p>
      <w:pPr>
        <w:spacing w:after="0" w:line="130"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67"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partners our programs, acquires or in-licenses other product candidates and technologies or enters into additional collaborations;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regulatory authorities;</w:t>
      </w:r>
    </w:p>
    <w:p>
      <w:pPr>
        <w:spacing w:after="0" w:line="130"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that we are required to make or eligible to receive under any future collaboration and license agreements;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efforts;</w:t>
      </w:r>
    </w:p>
    <w:p>
      <w:pPr>
        <w:spacing w:after="0" w:line="130"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product candidates;</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research and development or grant rights to develop and market our product candidates even if we would otherwise prefer to develop and market such product candidates ourself.</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82"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2023 and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(46,176)</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$(38,612)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12,819</w:t>
            </w: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43,173</w:t>
            </w: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(30,637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$46.2 million, compared to net cash used in operating activities of $38.6 million for the nine months ended September 30, 2022. Cash used in operating activities increased by $7.6 million. The increase in cash used was primarily due to the overall increase in our operating expenses during that same period, including a $2.5 million upfront payment made upon the execution of a collaboration and license agreement, as well as an increase in payments made for other external research and development activities.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Investing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$12.8 million, compared to net cash provided by investing activities of $8.0 million for the nine months ended September 30, 2022. This change of $4.8 million was primarily due to increased proceeds from the maturities of investments and decreased purchases of investments during the nine months ended September 30, 2023 as compared to the nine months ended September 30,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$43.2 million, compared to net cash provided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activities of less than $0.1 million for the nine months ended September 30, 2022. This change of $43.2 million was primarily due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$45.5 million of net cash proceeds received from the sale of Series B-2 convertible preferred stock during the nine months ended September 30,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offset by $2.6 million of financing costs incurred in connection with the Pre-Closing Financing and Merger that closed on November 3, 2023. No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comparable proceeds were received from financing activities during the nine months ended September 30,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and 2021:</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$(53,645)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(32,094)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(39,501)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8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115,945</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(42,567</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82"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$53.6 million, compared to net cash used in operating activities of $32.1 million for the year ended December 31, 2021. Cash used in operating activities increased by $21.6 million. The increase in cash used was primarily due to the overall increase in our operating expenses during that same period, including an increase in payments made for external research and development activities.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was $11.1 million, compared to net cash used in investing activities of $39.5 million for the year ended December 31, 2021. This change of $50.6 million was primarily due to proceeds from the maturities of investments during the year ended December 31, 2022 to which there were no comparable maturities during the year ended December 31, 2021.</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less than $0.1 million, compared to $115.9 million for the year ended December 31, 2021. Cash provided by financing activities decreased by $115.9 million due to net cash proceeds received from the sale of Series A convertible preferred stock and Series B-1 convertible preferred stock during the year ended December 31, 2021. No comparable proceeds were received from financing activities during the year ended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in Note 2 to our unaudited condensed consolidated financial statements both included in this prospectus, we believe that the following accounting policies are those most critical to the judgments and estimates used in the preparation of its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we are required to estimate our accrued research and development expenses.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actual costs. The majority of our service providers require advance payments; however, some providers invoice us in arrears for services performed, on a pre-determined schedule or when contractual milestones are met.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82"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recognize expenses related to preclinical studies and other studies on our estimates of the services performed pursuant to contracts with research institutions and clinical research organizations that conduct and manage preclinical studies and other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made any material adjustments to our prior estimates of accrued research and development expenses.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in an amount equal to the estimated grant date fair value of each stock-based payment, including stock options and restricted common stock, on a straight-line basis over the estimated period of service and vesting. This estimation of the fair value of each stock-based payment on the date of grant involves numerous assumptions by management. Although we calculate the fair value under the Black-Scholes option-pricing model, which is a standard option pricing model, this model still requires the use of numerous estimates, including, the expected term of the award, the volatility of the underlying equity security, a risk-free interest rate, fair value of common stock, and expected dividends. The use of different values by management in connection with these estimates in the Black-Scholes option-pricing model could produce substantially different results.</w:t>
      </w:r>
    </w:p>
    <w:p>
      <w:pPr>
        <w:spacing w:after="0" w:line="18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on our stock-based payments, refer to Note 2 and Note 11 to Legacy Korro’s audited consolidated financial statements included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do not currently have any off-balance sheet arrangements, as defined in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recently adopted accounting pronouncements applicable to our financial position and results of operations is included in Note 2 to Legacy Korro’s audited consolidated financial statements and in Note 2 to its unaudited condensed consolidated financial statements both included in this prospectus.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82"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FREQUENCY MANAGEMENT’S DISCUSSION AND ANALYSIS OF FINANCIAL CONDITION AND RESULTS OF OPERATIONS</w:t>
      </w:r>
    </w:p>
    <w:p>
      <w:pPr>
        <w:spacing w:after="0" w:line="22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Frequency’s financial condition and results of operations together with the section titled “Unaudited Pro Forma Combined Financial Data” and Frequency’s consolidated financial statements and related notes included elsewhere in this proxy statement/prospectus. This discussion and other parts of this proxy statement/prospectus contain forward-looking statements that involve risks and uncertainties, such as its plans, objectives, expectations, intentions, and beliefs. Frequency’s actual results could differ materially from those discussed in these forward-looking statements. Factors that could cause or contribute to such differences include, but are not limited to, those identified below and those discussed in the section titled “Risk Factors” included elsewhere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Frequency’s business has focused on developing therapeutics that activate a person’s innate regenerative potential through its proprietary progenitor cell activation, or PCA, approach. Frequency first applied its PCA approach for the restoration of the cochlea, with a focus on treating sensorineural hearing loss, or SNHL. Beginning in 2019, Frequency ran five clinical studies of FX-322 aimed at understanding safety as well as severities and etiologies that FX-322 might treat and the appropriate dose regime. In 2021, Frequency commenced its sixth study, or the FX-322-208 study, and introduced a second hearing program, FX 345, which Frequency believed might expand the opportunity to treat different types of SNHL. In February 2023, Frequency announced that the FX-322-208 study failed to achieve its primary endpoint of an improvement in speech perception. Frequency decided to discontinue the FX-322 development program and, given the similarities between the mechanisms of FX-322 and FX 345, decided to discontinue the FX-345 development program as well. Following this decision, Frequency decided to focus its efforts on developing a product candidate designed to activate oligodendrocyte precursor cells with the goal of inducing remyelination and functional recovery for individuals living with multiple sclerosis, or the MS Program, and to explore strategic alternatives for the MS Program, including the sale of the MS Program. On July 14, 2023, Frequency and Korro Bio entered into the Merger Agreement.</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April 8, 2022, Frequency announced a reduction in force of approximately 30% of its workforce to better align the workforce with the near-term needs of the business and focus more of Frequency’s capital resources on research and development programs for hearing and remyelination in MS. On February 13, 2023, in connection with the discontinuation of the hearing program, Frequency announced a restructuring of its business including a downsizing of personnel by approximately 55%. On May 31, 2023, Frequency announced a reduction in force of approximately 55% of its workforce to better align its workforce with the needs of its business.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August 11, 2023, Frequency entered into a lease termination agreement with its landlord to terminate the lease for its Lexington, MA office on January 31, 2024. Also on August 11, 2023, it entered into a sublease termination agreement with its sublessee to terminate the sublease of its Lexington, MA office on January 31, 2024. Frequency is not subject to any payments or costs pursuant to the lease or sublease termination agreements.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Since formation in 2014, Frequency has devoted substantially all its resources to developing its PCA approach, conducting research and development activities, including product candidate development, recruiting skilled personnel, establishing its intellectual property portfolio, and providing general and administrative support for these operations. Frequency has financed its operations primarily through private and public securities financings, a term loan, and amounts received under a collaboration agreement.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Since inception, Frequency has incurred significant operating losses and has not generated any revenue from the sale of products. Frequency’s net losses were $11.6 million, $42 million and $81.6 million for the three and nine months ended September 30, 2023 and year ended December 31, 2022, respectively. As of September 30, 2023, Frequency had an accumulated deficit of $303.6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82"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Frequency’s operating expenses discussed in this section reflect its development programs around FX-322, FX-345, the MS Program and contemplated future programs, as well as its operations as a public company. Following the Merger, the business of Korro Bio will be the business of the combined company, and Frequency does not expect any further development of its product candidates or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July 2019, Frequency entered into a license and collaboration agreement, or the Astellas Agreement with Astellas Pharma, Inc., or Astellas, under which Frequency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including Frequency’s product candidate FX-322, outside of the United States. On April 14, 2023, the Astellas Agreement was terminated. Frequency is not subject to any payments or costs as a result of this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2016, Frequency entered into an Exclusive Patent License Agreement, or the MIT License, with the Massachusetts Institute of Technology, or MIT, under which Frequency received an exclusive, worldwide, royalty-bearing license to certain patent rights to develop, make, have made, use, sell, offer to sell, lease, and import products and to develop and perform processes that incorporate the licensed technology for the treatment of disease, including but not limited to the prevention and remediation of hearing loss. Frequency was required to pay certain annual license maintenance fees ranging from $30 thousand to $0.1 million to MIT under the MIT License. On July 6, 2023, the MIT License Agreement was terminated. Frequency is not subject to any payments or costs as a result of this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Eye and Ear (Formerly Massachusetts Eye and Ear Infirmary)</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February 2019, Frequency entered into an Non-Exclusive Patent License Agreement, or the MEE License, with the Massachusetts Eye and Ear, or MEE, under which Frequency received a non-exclusive, non-sub-licensable, worldwide, royalty-bearing license to certain patent rights to develop, make, have made, use, sell, offer to sell, lease, and import products, and to develop and perform processes that incorporate the licensed technology for the treatment or prevention of hearing loss. Frequency was obligated to pay certain annual license maintenance fees between $5 thousand and</w:t>
      </w:r>
    </w:p>
    <w:p>
      <w:pPr>
        <w:spacing w:after="0" w:line="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$7.5 thousand per each MEE patent family case number included in the licensed MEE patent rights under the MEE License. On April 4, 2023, the MEE License was terminated. Frequency is not subject to any payments or costs as a result of this termination.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 (California Institute for Biomedical Research)</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2018, Frequency entered into a license agreement, or the CALIBR License, with the California Institute for Biomedical Research, or CALIBR, a division of Scripps, under which Frequency received an exclusive, worldwide, royalty-bearing license to certain patent rights to make, have made, use, sell, offer to sell, and import products that incorporate licensed technology for the treatment of MS. On April 28, 2023, the CALIBR License was terminated. Frequency is not subject to any payments or costs as a result of this termination.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82"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Frequency’s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presented in this section consist primarily of costs related to activities largely focused on hearing restoration and MS. These expenses include the following:</w:t>
      </w:r>
    </w:p>
    <w:p>
      <w:pPr>
        <w:spacing w:after="0" w:line="67" w:lineRule="exact"/>
        <w:rPr>
          <w:sz w:val="20"/>
          <w:szCs w:val="20"/>
          <w:color w:val="auto"/>
        </w:rPr>
      </w:pPr>
    </w:p>
    <w:p>
      <w:pPr>
        <w:ind w:left="1080" w:right="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and other third parties that conduct preclinical research and development activities and clinical trials on Frequency’s behalf;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manufacture Frequency’s clinical trial material for use in Frequency’s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and license payments made to third parties, including MIT, CALIBR, and MEE for intellectual property used in research and development activities; and</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expenses for rent and maintenance of facilities and other operating costs if specifically, identifiable to research activities.</w:t>
      </w:r>
    </w:p>
    <w:p>
      <w:pPr>
        <w:spacing w:after="0" w:line="16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Frequency tracks external research and development costs, including the cost of services, outsourced research and development, clinical trials, contract manufacturing, laboratory equipment and maintenance, and certain other development costs, by product candidate when the costs are specifically identifiable to a product candidate. Internal and external costs associated with infrastructure resources, other research and development costs, facility-related costs, and depreciation and amortization that are not identifiable to a specific product candidate are included in the platform development, early-stage research, and unallocated expenses category.</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Merger, Frequency focused on pursuing strategic alternatives for its MS Program. We closed the sale of Frequency’s MS program after the closing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Frequency’s executive, finance, business development, and administrative functions. General and administrative expenses also include legal fees relating to intellectual property and corporate matters; professional fees for accounting, auditing, tax and consulting services; investor and public relations costs; insurance costs;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earned on cash equivalents and marketable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paid on Frequency’s term loan.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82"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consists of amortization expense and accretion income on investments as well as sublease income.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Frequency’s total provision is based on the United States statutory rate of 21%, increased by state taxes and reduced by a full valuation allowance on Frequency’s deferred tax assets. The income tax expense for the three and six months ended June 30, 2023 and 2022 represents state taxes on interest income earned by Frequency’s subsidiary, Frequency Therapeutics Securities Corporation, a Massachusetts Securities Corporation.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Frequency has recorded a valuation allowance against its deferred tax assets at December 31, 2022 because Frequency has determined that it is more likely than not that it will not recognize the benefits of its federal and state deferred tax assets primarily due to Frequency’s cumulative loss position and, as a result, a valuation allowance has been established.</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Since its inception in 2014, Frequency has generated cumulative federal and state net operating loss and research and development credit carryforwards for which Frequency has not recorded any net tax benefit due to uncertainty around utilizing these tax attributes within their respective carryforward periods.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results of operations for the three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42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(7,610)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(12,665)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(20,275)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(11,621)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(19,570)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(11,614)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(19,547)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center"/>
              <w:ind w:left="16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therapeutic area and product candidate: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FX-322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3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FX-345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Multiple Sclerosis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Employee-related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Laboratory supplies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Facility-related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 total</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2,385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2,560</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11,715</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There were no costs incurred related to FX-322 for the three months ended September 30, 2023 as the program was discontinued in the first quarter of 2023 and all remaining expense was accelerated at that time. The $3.0 million of costs related to FX-322 incurred for the three months ended September 30, 2022 consisted primarily of $2.7 million of clinical costs associated with trials, including the Phase 2b clinical trial (FX-322-208), and $0.1 million of drug development and manufacturing costs.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There were no costs incurred related to FX-345 for the three months ended September 30, 2023 as the program was discontinued in the first quarter of 2023 and all remaining expense was accelerated at that time. The $1.0 million of costs related to FX-345 incurred for the three months ended September 30, 2022 consisted primarily of $0.6 million of clinical costs associated with the Phase 1b trial and $0.4 million of drug development and manufacturing costs.</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$0.2 million of costs related to the MS development program incurred for the three months ended September 30, 2023 consisted primarily of clinical and regulatory costs. The $1.1 million of costs related to the MS development program incurred for the three months ended September 30, 2022 consisted primarily of $0.8 million of chemistry and compound characterization costs and $0.2 million of drug development costs.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$2.4 million of platform development, early-stage research and unallocated expenses incurred for the three months ended September 30, 2023, consisted primarily of $1.6 million in employee-related costs, including $0.8 million of stock-based compensation expense, and $0.6 million in facility-related costs. The decrease in platform development, early-stage research and unallocated expenses of $4.3 million during the three months ended September 30, 2023, compared to the three months ended September 30, 2022, is primarily attributable to a decrease of $2.8 million in employee-related costs, including salary, bonus, and stock-based compensation costs, as a result of the reductions in force implemented in April 2022 and February 2023, as well as a $0.9 million decrease in facility-related costs due to a combination of reduced headcount and the initiation of cost sharing with Frequency’s sublessee in connection with its sublease.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82"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$10.1 million of general and administrative expenses for the three months ended September 30, 2023 consisted primarily of $2.9 million in employee-related costs, including $2.2 million of stock-based compensation, $1.5 million in facility-related costs, $5.4 million in professional services costs, and $0.3 million in depreciation expense. General and administrative expenses increased by $1.5 million from the three months ended September 30, 2022 due primarily to an increase in professional service fees, particularly legal fees.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was $0.4 million for the three months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was no interest expense for the three months ended September 30, 2023 compared to interest expense of $0.3 million for the three months ended September 30, 2022. The decrease is due to the loan prepayment in April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was $0.6 million for the three months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Income tax benefit was $7 thousand for the three months ended September 30, 2023 as compared to income tax benefit of $23 thousand for the three months ended September 30,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results of operations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3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1020" w:type="dxa"/>
            <w:vAlign w:val="bottom"/>
            <w:gridSpan w:val="2"/>
            <w:vMerge w:val="restart"/>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$ 18,509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$ 38,769</w:t>
            </w:r>
          </w:p>
        </w:tc>
        <w:tc>
          <w:tcPr>
            <w:tcW w:w="3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(45,007)</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(64,806)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(41,931)</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(64,227)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7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(41,953)</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(64,218)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00" w:type="dxa"/>
            <w:vAlign w:val="bottom"/>
            <w:vMerge w:val="restart"/>
          </w:tcPr>
          <w:p>
            <w:pPr>
              <w:jc w:val="right"/>
              <w:ind w:right="1412"/>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82" w:right="6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6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6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 research and development expenses by therapeutic area and product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candidate:</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FX-322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FX-345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(2,846)</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Multiple Sclerosis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costs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(6,628)</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Laboratory supplies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Facility-related costs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(1,783)</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 total</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13,825</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23,499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18,509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38,769</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(20,260)</w:t>
            </w:r>
          </w:p>
        </w:tc>
      </w:tr>
      <w:tr>
        <w:trPr>
          <w:trHeight w:val="20"/>
        </w:trPr>
        <w:tc>
          <w:tcPr>
            <w:tcW w:w="6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$1.1 million of costs related to FX-322 incurred for the nine months ended September 30, 2023 consisted of clinical costs associated with the Phase 2b clinical trial (FX-322-208) which concluded in the first quarter 2023. The $8.6 million of costs related to FX-322 incurred for the nine months ended September 30, 2022 consisted primarily of $7.8 million of clinical costs associated with clinical trials, including the Phase 2b clinical trial (FX-322-208), and $0.5 million of drug development and manufacturing costs.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$0.6 million of costs related to FX-345 incurred for the nine months ended September 30, 2023 consisted of clinical trial costs associated with the planned Phase 1b trial (FX-345-101), which was discontinued in the first quarter of 2023. The $3.5 million of costs related to FX-345 incurred for the nine months ended September 30, 2022 consisted primarily of $2.4 million of drug development and manufacturing costs, $0.5 million in clinical trial costs associated with the Phase 1b trial, and $0.2 million in regulatory fees related to the investigational new drug filing.</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$3.0 million of costs related to the MS development program incurred for the nine months ended September 30, 2023 consisted primarily of $1.2 million of chemistry and compound characterization costs, $0.6 million of drug development and manufacturing costs, $0.2 million of clinical and regulatory costs, and $0.8 million of preclinical safety costs. The $3.2 million of costs related to the MS development program incurred for the nine months ended September 30, 2022 consisted primarily of $1.9 million of chemistry and compound characterization costs, $0.4 million of preclinical safety costs, and $0.3 million of drug development and manufacturing costs.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$13.8 million of platform development, early-stage research and unallocated expenses incurred for the nine months ended September 30, 2023, consisted primarily of $9.2 million in employee-related costs, including $1.8 million of stock-based compensation expense, and $3.2 million in facility-related costs. The decrease in platform development, early-stage research and unallocated expenses of $9.7 million during the nine months ended September 30, 2023, compared to the nine months ended September 30, 2022, is primarily attributable to a decrease of $6.6 million in employee-related costs, including salary, bonus, and stock-based compensation costs, as a result of the reductions in force implemented in April 2022 and February 2023, as well as a $1.8 million decrease in facility-related costs due to a combination of reduced headcount and the initiation of cost sharing with Frequency’s sublessee in connection with its sublease.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82"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$26.5 million of general and administrative expenses for the nine months ended September 30, 2023 consisted primarily of $12.4 million in employee-related costs, including $7.5 million of stock-based compensation, $4.3 million in facility-related costs, $9.0 million in professional services costs, and $0.8 million in depreciation expense. General and administrative expenses increased by $0.5 million from the nine months ended September 30, 2022 due primarily to an increase in professional service fees, particularly legal fees, partially offset by decreases in employee-related costs as a result of the reductions in force implemented in April 2022 and February 2023.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$1.3 million for the nine months ended September 30, 2023 compared to interest income of $0.9 million for the nine months ended September 30, 2022. This increase is due to the changes in investment balances from the previous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was $0.3 million for the nine months ended September 30, 2023 compared to interest expense of $0.6 million for the nine months ended September 30, 2022. The decrease is due to the loan prepayment in April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Other income, net was $2.0 million for the nine months ended September 30, 2023 as compared to $0.4 million for the nine months ended September 30, 2023. This increase is due to the sublease income generated in the nine months ended September 30,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was $22 thousand for the nine months ended September 30, 2023 as compared to income tax benefit of $9 thousand for the nine months ended September 30,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results of operations for the years ended December 31, 2022 and 2021:</w:t>
      </w:r>
    </w:p>
    <w:p>
      <w:pPr>
        <w:spacing w:after="0" w:line="24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49,418</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60,923</w:t>
            </w: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33,584</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37,176</w:t>
            </w: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83,002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98,099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(83,002)</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(84,031)</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1,327</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1,056</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(81,582)</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(84,671)</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(81,580)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$(84,686)</w:t>
            </w:r>
          </w:p>
        </w:tc>
      </w:tr>
      <w:tr>
        <w:trPr>
          <w:trHeight w:val="346"/>
        </w:trPr>
        <w:tc>
          <w:tcPr>
            <w:tcW w:w="3300" w:type="dxa"/>
            <w:vAlign w:val="bottom"/>
          </w:tcPr>
          <w:p>
            <w:pPr>
              <w:spacing w:after="0"/>
              <w:rPr>
                <w:sz w:val="24"/>
                <w:szCs w:val="24"/>
                <w:color w:val="auto"/>
              </w:rPr>
            </w:pPr>
          </w:p>
        </w:tc>
        <w:tc>
          <w:tcPr>
            <w:tcW w:w="31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No revenue was recognized for the year ended December 31, 2022 compared to $14.1 million for the year ended December 31, 2021. In July 2019, Frequency entered into the Astellas Agreement and received an upfront license fee payment of $80.0 million. In accordance with ASC 606, Frequency recognized the $80.0 million as revenue over the period that research and development services were provided and the Phase 2a clinical study for FX-322 was carried out using the input method. These research and development services concluded in June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6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17"/>
        </w:trPr>
        <w:tc>
          <w:tcPr>
            <w:tcW w:w="6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120" w:type="dxa"/>
            <w:vAlign w:val="bottom"/>
          </w:tcPr>
          <w:p>
            <w:pPr>
              <w:spacing w:after="0"/>
              <w:rPr>
                <w:sz w:val="10"/>
                <w:szCs w:val="10"/>
                <w:color w:val="auto"/>
              </w:rPr>
            </w:pPr>
          </w:p>
        </w:tc>
      </w:tr>
      <w:tr>
        <w:trPr>
          <w:trHeight w:val="173"/>
        </w:trPr>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 research and development expenses by therapeutic area and product</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candidate:</w:t>
            </w: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FX-322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$10,334</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FX-345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Multiple Sclerosis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(5,542)</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Laboratory supplies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Facility-related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 total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(8,927)</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$60,923</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(11,505)</w:t>
            </w:r>
          </w:p>
        </w:tc>
      </w:tr>
    </w:tbl>
    <w:p>
      <w:pPr>
        <w:spacing w:after="0" w:line="19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$10.9 million of costs related to FX-322 incurred for the year ended December 31, 2022 consisted primarily of $10.0 million of clinical costs associated with ongoing trials, including the recently completed Phase 2b clinical trial (FX-322-208), and $0.6 million of drug development and manufacturing costs. The $10.3 million of costs related to FX-322 incurred for the year ended December 31, 2021 consisted primarily of $8.4 million of clinical costs associated with ongoing trials and $1.9 million of drug development and manufacturing costs. The overall increase from the year ended December 31, 2021 is due primarily to the FX-322-208 clinical trial activity in the year ended December 31, 2022.</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$4.2 million of costs related to FX-345 incurred for the year ended December 31, 2022 consisted primarily of $2.6 million of drug development and manufacturing costs, $1.2 million in clinical costs associated with the FX-345-101 trial, which Frequency initiated in 2022, and $0.4 million in preclinical safety costs. The $5.5 million of costs related to FX-345 incurred for the year ended December 31, 2021 consisted of $3.1 million in preclinical safety costs and $2.3 million in drug development and manufacturing costs. The overall decrease from the year ended December 31, 2021 is due primarily to the conclusion of preclinical safety work partially offset by costs related to the initiation of the FX-345-101 trial in the year ended December 31, 2022.</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$4.8 million of costs related to MS incurred for the year ended December 31, 2022 consisted primarily of $2.6 million of chemistry and compound characterization costs, $0.7 million in drug development and manufacturing costs, $0.6 million in preclinical safety costs, and $0.4 million in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testing costs. The $6.6 million of costs related to MS incurred for the year ended December 31, 2021 consisted of $3.0 million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82"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 preclinical safety costs, $1.6 million in chemistry and compound characterization costs, $0.9 million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testing costs, and</w:t>
      </w:r>
    </w:p>
    <w:p>
      <w:pPr>
        <w:spacing w:after="0" w:line="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$0.8 million in drug development and manufacturing costs. The overall decrease from the year ended December 31, 2021 is due primarily to a reduction in development and testing costs as Frequency progressed from exploratory activities to identification of specific proprietary compounds that act as Frequency’s novel target for remyelination in MS.</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$29.6 million of platform development, early-stage research and unallocated expenses incurred for the year ended December 31, 2022 consisted primarily of $20.0 million in employee related costs, including $7.7 million in stock-based compensation expense, $6.4 million of facility-related costs, and $1.6 million of depreciation expense. The decrease from the year ended December 31, 2021 is primarily attributable to a $5.5 million decrease in employee-related expenses due predominantly to Frequency’s April 2022 reduction in force, a $1.9 million decrease in outsourced research and development expenses as Frequency decreased sponsored research, and a $0.6 million decrease in other research and development expenses as Frequency reduced its reliance on third-party consulting.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$33.6 million of general and administrative expenses for the year ended December 31, 2022 consisted primarily of $20.6 million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employee-related costs, including $12.1 million in stock-based compensation expense, $5.6 million of professional services costs, $2.7 million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and officers’ insurance costs, $1.6 million in rent expense, including utilities and common area maintenance, or CAM, charges,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million in depreciation expense. General and administrative expenses decreased $3.6 million from December 31, 2021 due to a $2.1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professional services costs as Frequency reduced its reliance on third-party consulting and public relations vendors, a $0.6 million decrease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directors’ and officers’ insurance costs, and a $0.5 million decrease in employee-related costs due primarily to the April 2022 reduction in force.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$1.3 million for the year ended December 31, 2022 compared to $0.4 million for the year ended December 31, 2021, due to increases in interest rates from the previous year.</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Interest expense was $1.0 million for the year ended December 31, 2022 compared to $0.8 million for the year ended December 31, 2021, due to increases in the interest rate on Frequency’s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Realized gain (loss) on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Realized gain on investments was $3,000 for the year ended December 31, 2022 compared to a loss of $23,000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due to changes in the composition of investments year over year.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Foreign exchange loss was $5,000 for the year ended December 31, 2022 compared to a gain of $16,000 for the year ended December 31,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decrease was due to differences in foreign exchange remeasurement of the financial statements of Frequency’s foreign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was $1.1 million for the year ended December 31, 2022 compared to expense of $0.3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The change from the prior year is due to the inclusion of sublease income beginning in the third quarter of 2022.</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82"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benefit was $2,000 for the year ended December 31, 2022 compared to expense of $15,000 for the year ended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Since its inception, Frequency has incurred significant operating losses. Frequency does not currently have any approved products and has never generated any revenue from product sales. Frequency has financed its operations primarily through proceeds from private and public securities financings, a term loan, and amounts received under a collaboration agreement. To date, Frequency has raised approximately $378.3 million, including from grants and option exercises. Frequency’s cash, cash equivalents and marketable securities totaled $41.7 million as of September 30, 2023.</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2020, Frequency entered into a Loan and Security Agreement with a commercial bank for a term loan with a principal balance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million. Frequency made monthly interest only payments through November 30, 2022. On April 3, 2023, Frequency prepaid the remaining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$11.7 million due under the term loan. Frequency was not subject to any prepayment premium as the prepayment occurred after the second anniversary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closing date.</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December 2021, Frequency entered into an Equity Distribution Agreement with Oppenheimer &amp; Co. Inc., or Oppenheimer, to sell shares of its common stock, having an aggregate offering price of up to $125.0 million, from time to time, through an “at the market” equity offering program under which Oppenheimer acted as sales agent and/or principal, or the ATM Program. During the year ended December 31, 2022, Frequency sold 255 shares of common stock under the ATM Program for net proceeds of approximately $50 thousand and paid $2 thousand to Oppenheimer in sales agent fees. No shares of common stock have been sold under the ATM Program in 2023. On September 26, 2023 the ATM Program was terminated.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April 8, 2022, Frequency announced a reduction in force of approximately 30% of its workforce to better align its workforce with the needs of Frequency’s business and focus more of its capital resources on its research and development programs. The total costs related to this reduction in force are approximately $1.0 million in research and development expense and $0.2 million in general and administrative expense, primarily related to severance costs and related expenses.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February 13, 2023, in connection with the discontinuation of the FX-322 and FX-345 hearing programs, Frequency announced a restructuring that included downsizing personnel by approximately 55%. These changes are expected to preserve capital, ensuring that Frequency is appropriately resourced to complete a first clinical trial of its MS development program. The total costs related to this restructuring are approximately $4.3 million, of which $3.8 million is related to severance costs and related expenses, $0.4 million is related to accelerated depreciation, and $0.1 million is related to accelerated hearing program costs.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May 31, 2023, Frequency announced a reduction in force of approximately 55% of its workforce. This reduction in force was to better align its workforce with the needs of its business. The total costs related to this reduction in force are approximately $1.1 million in research and development expense and $22 thousand in general and administrative expense, primarily related to severance costs and related expenses.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July 14, 2023, Frequency entered into the Merger Agreement. Following the Merger, the business of Korro Bio will be the business of the combined company, and Frequency does not expect any further development of its product candidates or programs.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82"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sources and uses of cash for the periods presented:</w:t>
      </w:r>
    </w:p>
    <w:p>
      <w:pPr>
        <w:spacing w:after="0" w:line="24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(27,358)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31,528</w:t>
            </w: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6,573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(14,133)</w:t>
            </w: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(35,789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$27.4 million, consisting of a net loss of $42.0 million. In addition, Frequency had non-cash charges of $12.8 million for depreciation, stock-based compensation expense, non-cash lease expense, and non-cash gain on investments. Net cash used in operating activities was also impacted by changes in operating assets and liabilities, including a $4.0 million decrease prepaid expenses and other current assets, a $2.8 million decrease in accounts payable, and a $1.6 million decrease in lease liabilities, partially offset by a $2.2 million increase in accrued expenses.</w:t>
      </w:r>
    </w:p>
    <w:p>
      <w:pPr>
        <w:spacing w:after="0" w:line="18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operating activities for the nine months ended September 30, 2023 compared to the nine months ended September 30, 2022 was primarily due to a $22.3 million decrease in net loss. This decrease was partially offset by a $6.2 million decrease in stock based compensation expense and various changes in operating assets and liabilities year over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$31.5 million, which was primarily attributable to $33.5 million in redemptions of marketable securities, partially offset by $2.0 million purchases of marketable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increase in net cash provided by investing activities for the nine months ended September 30, 2023 compared to the nine months ended September 30, 2022 was primarily due to a $45.0 million decrease in the purchase of marketable securities partially offset by a $19.9 million decrease in redemptions of marketable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2023 was $14.1 million, primarily attributable to term loan repayments. This represents an increase in net cash used in financing activities when compared to the nine months ended September 30, 2022 as no such repayments were made in nine months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$42.6 million, consisting of a net loss of $64.2 million as Frequency incurred expenses associated with its FX-322 program, FX-345 program, MS program, platform development and early-stage research, and general and administrative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82"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expenses. In addition, Frequency had non-cash charges of $19.7 million for depreciation, stock-based compensation expense, non-cash lease expense, and non-cash interest expense. Net cash used in operating activities was also impacted by a net $4.5 million decrease in operating assets and liabilities, including a $3.2 million decrease in prepaid expenses and other current assets, a $1.4 million decrease in lease liabilities, and a $0.4 million decrease in accrued expenses, partially offset by a $0.5 million increase in accounts payable.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2022 was $6.6 million, which was attributable to $53.4 million in redemptions of marketable securities and $18 thousand sales of property and equipment, partially offset by $46.9 million purchases of marketable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was primarily attributable to $0.3 million in proceeds from the issuance of common stock and the sale of shares of common stock under the Employee Stock Purchase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sources and uses of cash for the years ended December 31, 2021 and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$(58,237)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(76,059)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31,133</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(66,126)</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(577)</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3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$(27,681)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(140,827)</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$58.2 million, consisting of a net loss of $81.6 million. The net loss was partially offset by non-cash items related to normal business operations including stock-based compensation expense of $19.8 million, depreciation expense of $2.8 million, non-cash lease expense of $2.4 million and non-cash interest expense of $0.4 million. Net cash used in operating activities was also impacted by a net $2.0 million decrease in operating assets and liabilities, primarily the result of the continued reduction of lease liabilities over the term of the Frequency leased office space.</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decrease in net cash used in operating activities for the year ended December 31, 2022 compared to the year ended December 31, 2021 is primarily due to changes in operating assets and liabilities year over year. Specifically, deferred revenue decreased $14.1 million in the year ended December 31, 2021 due to the recognition of revenue related to the Astellas Agreement. No such decrease occurred in the year ended December 31, 2022. The decrease from December 31, 2021 is also partially due to a $3.1 million decrease in net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was $31.1 million, which was attributable to $85.3 million in redemptions of marketable securities and $17 thousand in sales of property and equipment partially offset by $54.2 million of purchases of marketable securities.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82"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increase in net cash provided by investing activities for the year ended December 31, 2022 compared to the year ended December 31, 2021 is primarily due to a $56.1 million increase in the redemption of marketable securities and a $38.2 million decrease in the purchase of marketable securities. The increase is also due to a $2.9 million decrease in purchases of property and equipment from the year ended December 31, 2021 as Frequency furnished its new office and laboratory space in 2021 and did not incur such expenditures in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$0.6 million, primarily attributable to $0.8 million in term loan repayments partially offset by $0.2 million in proceeds from the Employee Stock Purchase Plan and $60 thousand in proceeds from the issuance of common stock under the ATM and exercises of common stock.</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financing activities for the year ended December 31, 2022 compared to December 31, 2021 is primarily attributable to the $1.2 million decrease in proceeds from the issuance of common stock. Additionally, Frequency began making principle repayments on its term loan in the year ended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$76.1 million, consisting of a net loss of $84.7 million. The net loss was partially offset by non-cash items related to normal business operations including stock-based compensation expense of $21.8 million, depreciation expense of $2.8 million, non-cash lease expense of $1.1 million and non-cash interest expense of $0.4 million. Net cash used in operating activities was also impacted by a net $17.3 million decrease in operating assets and liabilities, primarily due to the $14.1 million reduction in deferred revenue as all remaining revenue related to the Astellas Agreement was recognized in the year ended December 31, 2021 as well as a $2.3 million decrease in accounts payable due to the timing of invoice receipt and payment.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$66.1 million, which was attributable to $92.4 million of purchases of marketable securities and $2.9 million of purchases of property and equipment, partially offset by $29.2 million in redemptions of marketable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$1.4 million, primarily attributable to $1.3 million in proceeds from the exercise of Frequency Options and $60 thousand in proceeds from the Employee Stock Purchase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the Merger, the business of Legacy Korro became our business, and Frequency does not expect any further development of its product candidates or programs that would require additional funding. The funding requirements of the combined company will reflect the funding requirements for the development of Korro Bio’s product candidates and programs. A discussion of our funding requirements can be found in the section titled “</w:t>
      </w:r>
      <w:r>
        <w:rPr>
          <w:rFonts w:ascii="Times New Roman" w:cs="Times New Roman" w:eastAsia="Times New Roman" w:hAnsi="Times New Roman"/>
          <w:sz w:val="18"/>
          <w:szCs w:val="18"/>
          <w:i w:val="1"/>
          <w:iCs w:val="1"/>
          <w:color w:val="auto"/>
        </w:rPr>
        <w:t>Korro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 Management’s Discussion and Analysis of Financial Condition and Results of Operations—Liquidity and Capital Resources—Funding Requirements</w:t>
      </w:r>
      <w:r>
        <w:rPr>
          <w:rFonts w:ascii="Times New Roman" w:cs="Times New Roman" w:eastAsia="Times New Roman" w:hAnsi="Times New Roman"/>
          <w:sz w:val="18"/>
          <w:szCs w:val="18"/>
          <w:color w:val="auto"/>
        </w:rPr>
        <w:t>” in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Frequency’s management’s discussion and analysis of financial condition and results of operations is based on Frequency’s unaudited consolidated financial statements, which have been prepared in accordance with accounting principles generally accepted in the United States. The preparation of Frequency’s consolidated financial statements and related disclosures requires us to make estimates and assumptions that affect the reported amounts of assets and liabilities, costs and expenses, and the disclosure of contingent assets and liabilities in Frequency’s consolidated financial statements. Frequency bases its estimates on historical experience, known trends and events, and various other factors that Frequency believes are reasonable under the circumstances, the results of which form the basis for making judgments about the carrying values of assets and liabilities that are not readily apparent from other sources. Frequency evaluates its estimates and assumptions on an ongoing basis. Frequency’s actual results may differ from these estimates under different assumptions or conditions.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Frequency’s significant accounting policies are described in more detail in the notes to Frequency’s audited</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consolidated financial statements for the years ended December 31, 2021 and 2022 and unaudited consolidated financial statements for the three and nine months ended September 30, 2022 and 2023 included elsewhere in this prospectus.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Frequency’s financial position, results of operations, or cash flows is disclosed in Note 2 to Frequency’s unaudited consolidated financial statements for the three and nine months ended September 30, 2022 and 2023 included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Frequency has elected to take advantage of this extended transition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82"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i w:val="1"/>
          <w:iCs w:val="1"/>
          <w:color w:val="auto"/>
        </w:rPr>
        <w:t>On November 3, 2023, we completed the business combination with the privately held Delaware corporation, Korro Bio, Inc., or Legacy Korro, in accordance with the terms of the Agreement and Plan of Merger dated as of July 14, 2023, or the Merger Agreement, among our company, Legacy Korro and a wholly-owned merger subsidiary. We refer to this business combination throughout this Business Section as the Merger. Immediately after the Merger the former Legacy Korro securityholders owned approximately 91% of our fully diluted common stock, and our pre-Merger securityholders owned the remaining approximately 9%. As a result of the Merger, our business is now substantially comprised of the business of Legacy Korro, and although we are considered the legal acquiror of Legacy Korro, for accounting purposes, Legacy Korro is considered to have acquired our company in the Merger. Consequently, the Merger is accounted for as a reverse recapitalization. Upon completion of the Merger, we changed our name from “Frequency Therapeutics, Inc.” to “Korro Bio, Inc.,” our common stock began trading on The Nasdaq Capital Market under a new ticker symbol “KRRO” on November 6, 2023 and our financial statements became those of Legacy Korro.</w:t>
      </w:r>
    </w:p>
    <w:p>
      <w:pPr>
        <w:spacing w:after="0" w:line="296" w:lineRule="exact"/>
        <w:rPr>
          <w:sz w:val="20"/>
          <w:szCs w:val="20"/>
          <w:color w:val="auto"/>
        </w:rPr>
      </w:pPr>
    </w:p>
    <w:p>
      <w:pPr>
        <w:ind w:left="120" w:right="74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Business Section, the words “we,” “us,” “our,” the “Company,” and “Korro Bio” refer to Korro Bio, Inc. and its consolidated subsidiaries following completion of the Merger.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with a mission to discover, develop and commercialize a new class of genetic medicines based on editing RNA, enabling treatment of both rare and highly prevalent diseases.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generating a portfolio of differentiated programs that are designed to harness the body’s natural RNA editing process to effect a precise yet transient single base edit.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platform with precedented delivery modalities, manufacturing know-how, and established regulatory pathways of approved oligonucleotide drugs. However, the scientific evidence to support the feasibility of developing product candidates using our RNA editing technology is both preliminary and limited. Moreover, regulators have not yet established any definitive guidelines related to overall development considerations for RNA editing therapies and no clinical data has been generated to date.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advent of large-scale genome sequencing has progressively revealed causal genetic variation underlying several human diseases, both rare and highly prevalent. Genetic mutations, including single nucleotide variants, or SNVs, implicated in disease have been found to be diverse in nature and can affect the function of genes and its associated downstream biochemical pathways. Data correlating DNA to RNA to disease phenotype have demonstrated that SNVs lead to a loss-of-function or a gain-of-function of the gene. In addition, the majority of SNVs implicated in complex diseases are due to modulation of gene function. By editing SNVs on RNA, we believe we will be able to address unmet patient need by transiently modifying gene function.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our understanding of genetic drivers of disease has increased, significant advances have been made in technologies designed to introduce specific yet permanent changes at the DNA level to treat diseases. While these DNA editing approaches offer great promise for the treatment of certain rare diseases, they present significant risks from potential permanent adverse “off-target” edits. Additionally, the complex nature of DNA editing drug products presents multiple challenges including lack of efficient delivery to target cells and scalable manufacturing, impeding their application to treat complex highly prevalent diseases of larger patient populations. These potential limitations have spurred exploration of alternative approaches to genetic medicine development, such as RNA editing.</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Mammals and other lower species like cephalopods have an endogenous process of modifying single bases on RNA, referred to as RNA editing. RNA editing is a natural physiological process that occurs in cells,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82"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including a mechanism mediated by an enzyme called Adenosine Deaminase Acting on RNA, or ADAR. Our RNA editing approach involves co-opting this endogenous editing system via a proprietary engineered oligonucleotide to introduce precise edits to RNA. We iteratively optimize the editing efficiency of our product candidates using a combination of ADAR biology, chemistry and machine learning expertise. Using this approach, we can edit the transcriptome with high efficiency and specificity. The application of such an approach can provide the ability to alter a SNV and affect biology in meaningful ways.</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have assembled a suite of technologies and capabilities to build our RNA editing platform, Oligonucleotide Promoted Editing of RNA, or OPERA.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937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 relies on the following key components that enable us to generate our differentiated RNA editing product candidates:</w:t>
      </w:r>
    </w:p>
    <w:p>
      <w:pPr>
        <w:spacing w:after="0" w:line="129" w:lineRule="exact"/>
        <w:rPr>
          <w:sz w:val="20"/>
          <w:szCs w:val="20"/>
          <w:color w:val="auto"/>
        </w:rPr>
      </w:pPr>
    </w:p>
    <w:p>
      <w:pPr>
        <w:ind w:left="1080" w:right="120" w:hanging="532"/>
        <w:spacing w:after="0" w:line="290" w:lineRule="auto"/>
        <w:tabs>
          <w:tab w:leader="none" w:pos="10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Deep understanding from ADAR biology</w:t>
      </w:r>
      <w:r>
        <w:rPr>
          <w:rFonts w:ascii="Times New Roman" w:cs="Times New Roman" w:eastAsia="Times New Roman" w:hAnsi="Times New Roman"/>
          <w:sz w:val="17"/>
          <w:szCs w:val="17"/>
          <w:color w:val="auto"/>
        </w:rPr>
        <w:t xml:space="preserve">, supported by extensive preclinical research using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assays and proprietary mouse models as well as the fundamental work of our scientific advisors and founders to elucidate key insights and know-how of ADAR biology. This enables an understanding of ADAR activity in different species and disease states, allowing us to develop novel product candidates.</w:t>
      </w:r>
    </w:p>
    <w:p>
      <w:pPr>
        <w:spacing w:after="0" w:line="62" w:lineRule="exact"/>
        <w:rPr>
          <w:rFonts w:ascii="Times New Roman" w:cs="Times New Roman" w:eastAsia="Times New Roman" w:hAnsi="Times New Roman"/>
          <w:sz w:val="17"/>
          <w:szCs w:val="17"/>
          <w:color w:val="auto"/>
        </w:rPr>
      </w:pPr>
    </w:p>
    <w:p>
      <w:pPr>
        <w:ind w:left="1080" w:right="4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Expertise in oligonucleotide chemistry</w:t>
      </w:r>
      <w:r>
        <w:rPr>
          <w:rFonts w:ascii="Times New Roman" w:cs="Times New Roman" w:eastAsia="Times New Roman" w:hAnsi="Times New Roman"/>
          <w:sz w:val="18"/>
          <w:szCs w:val="18"/>
          <w:color w:val="auto"/>
        </w:rPr>
        <w:t>, enabled by the ability to identify and incorporate chemical modifications to generate a fully modified synthetic oligonucleotide. This increases our ability to generate oligonucleotides with drug-like properties, thereby increasing the editing and translational efficiency of our product candidates.</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Machine learning optimization of oligonucleotides</w:t>
      </w:r>
      <w:r>
        <w:rPr>
          <w:rFonts w:ascii="Times New Roman" w:cs="Times New Roman" w:eastAsia="Times New Roman" w:hAnsi="Times New Roman"/>
          <w:sz w:val="18"/>
          <w:szCs w:val="18"/>
          <w:color w:val="auto"/>
        </w:rPr>
        <w:t xml:space="preserve"> , driven by data science and computational capabilities for rapid design and iteration resulting in optimal product candidates for each disease being pursued.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Fit-for-purpose delivery</w:t>
      </w:r>
      <w:r>
        <w:rPr>
          <w:rFonts w:ascii="Times New Roman" w:cs="Times New Roman" w:eastAsia="Times New Roman" w:hAnsi="Times New Roman"/>
          <w:sz w:val="18"/>
          <w:szCs w:val="18"/>
          <w:color w:val="auto"/>
        </w:rPr>
        <w:t>, made possible by tissue-specific delivery technologies that can enhance biodistribution, specificity, durability and editing efficiency of product candidates for each given disease.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versatility of RNA editing combined with our OPERA platform broadens the therapeutic target space significantly. While our approach can be used to repair pathogenic SNVs, as demonstrated by our most advanced program, our AATD product candidate, we can also engineer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SNVs and change amino acids on proteins to endow them with desired properties while preserving their broader functional capabilities as exemplified by three of our other programs (sAH, ALS, Pain). In preclinical studies, we have demonstrated that single RNA changes can disrupt protein-protein interactions, prevent protein aggregation, selectively modulate ion channels and activate kinases. These modification approaches can unlock validated target classes that have historically been difficult to drug, enabling us to pursue a broad range of diseases traditionally out-of-scope for other genetic medicine approaches and current traditional drug modalities.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82"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Each of our programs demonstrate the versatility of the oligonucleotide-based ADAR-mediated RNA editing approach to bring additional precision and tunability to address a broad range of rare and highly prevalent diseases.</w:t>
      </w:r>
    </w:p>
    <w:p>
      <w:pPr>
        <w:spacing w:after="0" w:line="67" w:lineRule="exact"/>
        <w:rPr>
          <w:sz w:val="20"/>
          <w:szCs w:val="20"/>
          <w:color w:val="auto"/>
        </w:rPr>
      </w:pPr>
    </w:p>
    <w:p>
      <w:pPr>
        <w:ind w:left="1080" w:right="10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Repairing pathogenic variants:</w:t>
      </w:r>
      <w:r>
        <w:rPr>
          <w:rFonts w:ascii="Times New Roman" w:cs="Times New Roman" w:eastAsia="Times New Roman" w:hAnsi="Times New Roman"/>
          <w:sz w:val="18"/>
          <w:szCs w:val="18"/>
          <w:color w:val="auto"/>
        </w:rPr>
        <w:t xml:space="preserve"> An SNV that is a G to A mutation on DNA, leading to an aberrant amino acid on a protein can be repaired using RNA editing. Such an approach is relevant when the patient population has a spectrum of disease manifestations from mild-to-severe.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Disrupting protein-protein interactions:</w:t>
      </w:r>
      <w:r>
        <w:rPr>
          <w:rFonts w:ascii="Times New Roman" w:cs="Times New Roman" w:eastAsia="Times New Roman" w:hAnsi="Times New Roman"/>
          <w:sz w:val="18"/>
          <w:szCs w:val="18"/>
          <w:color w:val="auto"/>
        </w:rPr>
        <w:t xml:space="preserve"> A single SNV observed in human genetic association studies has the potential to inform how to transiently activate a protein pathway. We can generate this protein variant transiently using our RNA editing product candidates, thereby engineering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SNV.</w:t>
      </w:r>
    </w:p>
    <w:p>
      <w:pPr>
        <w:spacing w:after="0" w:line="81"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target classes:</w:t>
      </w:r>
      <w:r>
        <w:rPr>
          <w:rFonts w:ascii="Times New Roman" w:cs="Times New Roman" w:eastAsia="Times New Roman" w:hAnsi="Times New Roman"/>
          <w:sz w:val="18"/>
          <w:szCs w:val="18"/>
          <w:color w:val="auto"/>
        </w:rPr>
        <w:t xml:space="preserve"> There are multiple other target classes that can be addressed such as preventing protein aggregation selectively modulating ion channels and activating kinases that have been traditionally hard to leverage for developing medicines.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pipeline chart below demonstrates the breadth of indications and applications enabled by our OPERA platform, with an initial focus on four programs that are all wholly-owned. In addition, we have two other wholly-owned programs not reflected in the pipeline chart below: one for an undisclosed target for sAH , and one for a kinase target for cardiometabolic disease. All of our programs are still in the research or preclinical stage of development and their risk of failure is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142875</wp:posOffset>
            </wp:positionV>
            <wp:extent cx="5023485" cy="140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2348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submission of regulatory filing and authorization to proceed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most advanced program is a product candidate for Alpha-1 Antitrypsin Deficiency, or AATD, where, using our proprietary RNA editing approach, we are repairing a pathogenic variant on RNA. Our product candidate has the potential to be disease-modifying and provide a differentiated therapeutic option. AATD is an inherited genetic disorder that can cause severe progressive lung and liver disease due to a lack of normal alpha-1 antitrypsin protein, or A1AT, caused by SNV mutations in the SERPINA1 gene. There are an estimated 3.4 million individuals with deficiency allele combinations worldwide. Despite being minimally effective and not fully addressing the needs of many AATD patients, augmentation therapy currently represents ~$1.4 billion in annual sales worldwide. Our product candidate has the potential to elevate the standard of care and expand the number of patients on treatment and potential to be a leader with a large market opportunity worldwide. However, we have yet to conduct any human clinical trials, our product candidate is in early stages of development and there is no guarantee we will be successful.</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AATD product candidate is a proprietary oligonucleotide that utilizes an established lipid nanoparticle, or LNP, based delivery system administered intravenously to transiently restore production of normal A1AT in liver hepatocytes. By correcting the pathogenic G to A SNV in the SERPINA1 gene, we aim to bring individuals with the Z mutation to a phenotype where over 50% of RNA has been corrected to produce normal A1AT protein, preserving lung and liver function and preventing further damage. However, this delivery system has not yet been finalized and while LNPs have been validated clinically to deliver oligonucleotides, such as siRNA, they have not been clinically proven to deliver oligonucleotides for RNA editing, such as our product candidates.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82"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approach for treating AATD has multiple potential advantages:</w:t>
      </w:r>
    </w:p>
    <w:p>
      <w:pPr>
        <w:spacing w:after="0" w:line="131" w:lineRule="exact"/>
        <w:rPr>
          <w:sz w:val="20"/>
          <w:szCs w:val="20"/>
          <w:color w:val="auto"/>
        </w:rPr>
      </w:pPr>
    </w:p>
    <w:p>
      <w:pPr>
        <w:ind w:left="1080" w:right="66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disease modifying therapy for both lung and liver manifestations by transiently editing over 50% of RNA transcripts in hepatocytes to restore normal A1AT protein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treatment option that can be tailored to address the broad spectrum of severity within the AATD population</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enable physiologic regulation of A1AT using endogenous ADAR, thereby increasing normal A1AT production during inflammation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Fit-for-purpose delivery using a proven LNP to maximize editing efficiency, leading to greater potential clinical benefit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generated compelling preclinical data demonstrating proof of concept across multiple RNA editing oligonucleotides that have the potential to become the lead development candidate. These potential development candidates have each achieved targeted durability, high editing efficiency (&gt;50% editing of hepatocytes) and increased expression of normal A1AT protein (&gt;70% of total A1AT protein in circulation)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 We have also shown that our product candidates have high translation of RNA editing efficiency from mice to non-human primates, or NHPs, demonstrating the potential applicability of our approach in humans. While we believe we can demonstrate many of the key advantages of RNA editing,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Based on the totality of the preclinical data generated to date, we intend to nominate our development candidate in the fourth quarter of 2023. The development candidate will then be tested in studies to enable a regulatory filing in the second half of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were launched in 2018 and were co-founded by Nessan Bermingham, Jean-Francois Formela, Joshua Rosenthal and Andrew Fraley. Our science was based on pioneering research from the laboratory of Joshua Rosenthal, Ph.D., at the Marine Biological Laboratory, or MBL in Woods Hole. Dr. Rosenthal’s work includes landmark discoveries in RNA editing based on adenosine deamination.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led by an experienced team with deep expertise in genetic medicines, development of oligonucleotide-based therapeutics, building novel therapeutic platforms, and bringing multiple therapeutics to market. In addition, our executive leadership team has a successful track record of company building and leading biotech companies including Ram Aiyar, Ph.D., President and Chief Executive Officer, an experienced executive and company builder with 20 years of diverse industry experience including research, business and strategy; Steve Colletti, Ph.D., Chief Scientific Officer who brings nearly 30 years of drug discovery and development experience covering a broad range of therapeutic areas and modalities; and Vineet Agarwal, Chief Financial Officer, who brings more than 14 years of financial and industry experience as a biotech investment banker with J.P. Morgan Chase &amp; Co. We also have an accomplished scientific advisory board comprised of leading experts in the fields of ADAR biology, chemistry, translation medicine, and nucleic acid therapeutics.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mission-driven organization and thrives through a strong culture of scientific innovation and behavior that embodies our core values and principles. We are actively working to rewrite the future of medicine by remaining on the cutting edge of science and research. We believe our success is enabled by working better together and embracing diversity, leading us to employ a dynamic team with varied expertise, enabled by kindness and integrity.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82"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attracted a talented team of industry experts and experienced scientists as part of a high-performing, nimble organization. Our research and development organization is comprised of individuals with expertise in DNA editing technologies, liver biology, CNS biology, medicinal chemistry, biochemistry and drug delivery, translational medicine and conducting preclinical studies.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Since inception, we have raised $226 million in capital before the Pre-Closing Financing and Merger. If this transaction is completed, we will raise an additional $117 million from premier venture capital funds, healthcare-dedicated funds, major mutual funds and other leading investors that share our vision of creating transformative genetic medicines for diseases with high prevalence.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mission is to discover, develop and commercialize a new class of RNA editing therapies capable of improving the lives of patients with rare and highly prevalent diseases. We do this by applying our RNA editing platform, OPERA, which combines our unique expertise in ADAR biology and oligonucleotide chemistry with machine learning-driven optimization and fit-for-purpose delivery. Our novel RNA editing product candidates are designed to harness the body’s natural RNA editing processes to make a precise single base edit. However, this has only been observed in preclinical studies as we have yet to submit an IND to the FDA or commence a clinical trial. Our goal is to develop a portfolio of RNA editing product candidates with best-in-class properties across a range of diseases by executing on the following key pillars of our strategy:</w:t>
      </w:r>
    </w:p>
    <w:p>
      <w:pPr>
        <w:spacing w:after="0" w:line="89" w:lineRule="exact"/>
        <w:rPr>
          <w:sz w:val="20"/>
          <w:szCs w:val="20"/>
          <w:color w:val="auto"/>
        </w:rPr>
      </w:pPr>
    </w:p>
    <w:p>
      <w:pPr>
        <w:ind w:left="1080" w:right="20" w:hanging="532"/>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 novel class of RNA editing therapies using learnings from a combination of genetics and approved medicines.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leveraging significant advances in the understanding of the correlation between DNA, RNA and disease phenotypes to develop novel therapeutic approaches across a range of validated biological targets. This novel class of RNA editing therapeutics combines the precision of genomic therapies with the properties associated with traditional approved drugs, such as titratability and ability to re-dose. In addition, our oligonucleotide editing product candidates are structurally similar to other clinically and commercially validated drug modalities such as antisense oligonucleotides, or ASOs, and small-interfering siRNAs, conferring potential advantages in manufacturing, regulatory review and clinical adoption.</w:t>
      </w:r>
    </w:p>
    <w:p>
      <w:pPr>
        <w:spacing w:after="0" w:line="88"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and advance into the clinic a differentiated disease-modifying therapy for patients with AATD. </w:t>
      </w:r>
      <w:r>
        <w:rPr>
          <w:rFonts w:ascii="Times New Roman" w:cs="Times New Roman" w:eastAsia="Times New Roman" w:hAnsi="Times New Roman"/>
          <w:sz w:val="18"/>
          <w:szCs w:val="18"/>
          <w:color w:val="auto"/>
        </w:rPr>
        <w:t>Our most advanced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a product candidate for AATD that has the potential to provide a differentiated therapeutic option by addressing both the liver and lung pathologies. Our RNA editing oligonucleotide product candidates have generated compelling preclinical data that demonstrates restoration of normal A1AT protein while preventing the aggregation of dysfunctional A1AT in the liver. Our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data has demonstrated durability and high editing efficiency in both mice and NHPs, illustrating the potential applicability in humans. We anticipate nominating a development candidate for this program in the fourth quarter of 2023 and regulatory filing in the second half of 2024. Depending on the evidence of efficacy and tolerability, we intend to pursue expedited regulatory pathways. However, regulators have not yet established any definitive guidelines related to overall development considerations for RNA editing therapies and no clinical data has been generated to date.</w:t>
      </w:r>
    </w:p>
    <w:p>
      <w:pPr>
        <w:spacing w:after="0" w:line="93"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Deploy our versatile OPERA platform to develop a portfolio of programs that modify proteins transiently to expand into highly prevalent diseases. </w:t>
      </w:r>
      <w:r>
        <w:rPr>
          <w:rFonts w:ascii="Times New Roman" w:cs="Times New Roman" w:eastAsia="Times New Roman" w:hAnsi="Times New Roman"/>
          <w:sz w:val="18"/>
          <w:szCs w:val="18"/>
          <w:color w:val="auto"/>
        </w:rPr>
        <w:t>OPERA has the ability to generate unique RNA editing therapies that can modify protein function or endow proteins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engineered changes that will potentially result in desirable properties to treat disease. In preclinical studies, we have demonstrated that single RNA changes can disrupt a protein-protein interaction, prevent protein aggregation, selectively modulate an ion channel and selectively activate a kinase. These modification approaches can unlock validated target classes that have historically been deemed undruggable, enabling us to pursue a broad range of diseases, including those with high prevalence. We are evaluating potential applications of our OPERA platform for use in other highly prevalent indications including the CNS, liver, and cardiometabolic therapeutic areas.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080" w:right="40" w:hanging="532"/>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optimize and enhance our OPERA platform. </w:t>
      </w:r>
      <w:r>
        <w:rPr>
          <w:rFonts w:ascii="Times New Roman" w:cs="Times New Roman" w:eastAsia="Times New Roman" w:hAnsi="Times New Roman"/>
          <w:sz w:val="18"/>
          <w:szCs w:val="18"/>
          <w:color w:val="auto"/>
        </w:rPr>
        <w:t>We believe we have built a leading RNA editing company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our OPERA platform, intellectual property strategy and human capital. Our computationally driven approach enables rapid design and optimization of potential oligonucleotide product candidates. In development of our AATD program, we were able to go from “design-to-data” in 5-6 weeks. We intend to continue to incorporate new data into these machine learning models to improve their ability to predict editing efficiency and to more expeditiously optimize and nominate new product candidates. Although there is no guarantee that this will result in an accelerated development or approval timeline, if at all.</w:t>
      </w:r>
    </w:p>
    <w:p>
      <w:pPr>
        <w:spacing w:after="0" w:line="87"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the potential of our OPERA platform through collaborations and strategic partnerships. </w:t>
      </w:r>
      <w:r>
        <w:rPr>
          <w:rFonts w:ascii="Times New Roman" w:cs="Times New Roman" w:eastAsia="Times New Roman" w:hAnsi="Times New Roman"/>
          <w:sz w:val="18"/>
          <w:szCs w:val="18"/>
          <w:color w:val="auto"/>
        </w:rPr>
        <w:t>We currently retain worldwide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rights to our programs and platform. We actively collaborate with clinical leaders, academic medical centers of excellence, and patient advocacy groups to continue to enhance our expertise in our focus therapeutic areas. Given the versatility and broad potential of our OPERA platform across therapeutic areas, especially in diseases with high prevalence, we may enter into strategic partnerships with external parties that have complementary capabilities to broaden and accelerate access to our RNA editing therapies.</w:t>
      </w:r>
    </w:p>
    <w:p>
      <w:pPr>
        <w:spacing w:after="0" w:line="87" w:lineRule="exact"/>
        <w:rPr>
          <w:rFonts w:ascii="Times New Roman" w:cs="Times New Roman" w:eastAsia="Times New Roman" w:hAnsi="Times New Roman"/>
          <w:sz w:val="18"/>
          <w:szCs w:val="18"/>
          <w:color w:val="auto"/>
        </w:rPr>
      </w:pPr>
    </w:p>
    <w:p>
      <w:pPr>
        <w:ind w:left="1080" w:right="160" w:hanging="532"/>
        <w:spacing w:after="0" w:line="25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 in human capital and encourage innovation to maintain a leading position and advance the frontiers of genetic medicines. </w:t>
      </w:r>
      <w:r>
        <w:rPr>
          <w:rFonts w:ascii="Times New Roman" w:cs="Times New Roman" w:eastAsia="Times New Roman" w:hAnsi="Times New Roman"/>
          <w:sz w:val="18"/>
          <w:szCs w:val="18"/>
          <w:color w:val="auto"/>
        </w:rPr>
        <w:t>We are a mission-driven organization, and we thrive through a strong culture that embodies our core values. We are actively working to rewrite the future of medicine and remain on the cutting edge of science and research by working better together and embracing diversity in employing a dynamic team with varied expertise, enabled by kindness and integrity. We have attracted a talented team of industry experts and experienced scientists as part of a high-performing and nimble organization. Our research and development organization is comprised of individuals with expertise in editing technologies, RNA biology, liver biology, CNS biology, medicinal chemistry, biochemistry and delivery, translational medicine, preclinical and clinical development.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Expanding the Frontiers of Genetic Medicines: RNA Editing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advent of large-scale genome sequencing has progressively revealed causal genetic variation underlying several human diseases, both rare and highly prevalent. Genetic mutations, including SNVs, implicated in disease have been found to be diverse in nature and can affect the function of genes and its associated downstream biochemical pathways. Natural genetic variations, revealed by population-level genomic studies, have also been shown to protect against or to increase the risk of disease. Beyond these developments, groundbreaking advances in gene therapy, cell therapy and RNA therapeutics have resulted in several approvals that have transformed the treatment of certain genetic diseases and cancers as well as the prevention of infectious diseases, such as COVID-19. In addition, various DNA editing approaches have been developed that introduce specific genetic changes to DNA to treat diseases. First generation CRISPR-Cas9 DNA editing has demonstrated the potential to knockout pathogenic mutations at the single gene level with several programs in clinical development and the first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DNA editing therapeutic for a rare hematological condition on file at the FDA. Next generation DNA editing approaches have recently entered the clinic and hold the promise to edit DNA at the single nucleotide level.</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Despite these advances, significant risks exist with DNA editing approaches. A key concern is the introduction of unwanted DNA modifications (“off-target” edits) which could have permanent adverse effects such as chromosomal integration and non-specific insertions, deletions and substitutions. Additionally, due to the complexity of a multicomponent DNA editing product, delivery to target cells can be challenging and even more so if there is a need to edit multiple genetic loci. Furthermore, manufacturing is highly complex and expanding to commercial scale remains challenging, specifically for a highly prevalent indication. Given these challenges, DNA editing approaches will likely remain a focus for certain rare diseases, while its ability to treat diseases of high prevalence continues to be limited.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82"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ADAR-mediated RNA editing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RNA editing involves altering a sequence of RNA which intrinsically has the potential to address some of the limitations of DNA editing. RNA editing mediated by adenosine deaminase acting on RNA, or “ADAR-mediated” RNA editing, has recently emerged as a differentiated approach that can generate product candidates having features that combine the precision of genomic therapies with the properties commonly associated with current approved drugs such as titratability and ability to re-dose. Importantly, these drug-like characteristics enable ADAR-mediated RNA editing candidates to be potentially safer and target diseases with high prevalence that would be difficult for DNA editing approaches to address.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ADARs are a family of enzymes present inside a cell, that bind RNA. ADARs bind double-stranded RNA structures, and convert a single base of adenosine (A) on RNA, into an inosine (I) that is typically translated as a guanosine (G), using an enzymatic process. ADAR mediated editing is found at high levels in cephalopods both on the coding and non-coding regions of the RNA. In humans, there are fewer recoding events, and most of the endogenous editing events occur in non-coding regions.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Humans have two known active endogenous ADAR enzymes, ADAR1 and ADAR2. ADAR1 is constitutively expressed and is present in most tissues within the body, whereas ADAR2 is more highly expressed in tissues such as the brain. The ADARs are essential enzymes for normal physiologic function. ADAR-driven RNA editing has been found to be critical for the function of a number of proteins, such as the glutamate ionotropic receptor, which has been found to be almost always RNA-edited in humans. Given ADARs’ natural function to catalyze A-to-I edits, this endogenous editing system can be leveraged to make programmed edits to RNA. This ability to introduce programmed highly targeted edits into RNA has the potential to expand the reach of genetic medicines with an ability to modify proteins to achieve a desired function.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Oligonucleotide-based ADAR-mediated RNA Editing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are multiple therapeutic approaches to utilize ADAR-mediated RNA editing, including synthetic oligonucleotides, engineered ADARs, and Cas-based editing approaches. Our therapeutic approach delivers oligonucleotides to target tissues and cells to introduce precise edits to RNA through recruitment of endogenous ADAR.</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Normally, ADARs are recruited to target RNA editing sites through recognition of specific double-stranded RNA structures such as naturally occurring hairpins or loops in endogenous transcripts. Importantly, one can mimic these double-stranded RNA structures by introducing complementary synthetic oligonucleotides into cells. An oligonucleotide can be engineered to mimic the double-stranded RNA structure such that endogenous ADAR is recruited. Using this targeted approach, a site directed specific A-to-I edit can be introduced.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048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9493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 Mechanism of RNA editing using our proprietary platform</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82"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Advantages of Oligonucleotide-Based ADAR-Mediated RNA Editing as a Therapeutic Modality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believe that oligonucleotide-based ADAR-mediated RNA editing is a groundbreaking technology that is ideally suited to expand the application of genetic medicines for indications that DNA editing is unable to address. Over the last two decades, there has been significant research around and development of oligonucleotide-based therapeutics, including modalities such as siRNA and ASOs, that has led to the approval of multiple drugs. Specifically, developments in oligonucleotide chemistry, delivery technologies, tolerability, and manufacturing, combined with better defined regulatory pathways, have led to the approval of oligonucleotide-based therapeutics specific for multiple different tissue types. We differentiate ourself from DNA-editing by leveraging the know-how from approved oligonucleotide therapies in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147955</wp:posOffset>
            </wp:positionV>
            <wp:extent cx="4389120" cy="21088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891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While we believe we can demonstrate many of the key advantages of RNA editing,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w:t>
      </w:r>
    </w:p>
    <w:p>
      <w:pPr>
        <w:spacing w:after="0" w:line="81" w:lineRule="exact"/>
        <w:rPr>
          <w:sz w:val="20"/>
          <w:szCs w:val="20"/>
          <w:color w:val="auto"/>
        </w:rPr>
      </w:pPr>
    </w:p>
    <w:p>
      <w:pPr>
        <w:ind w:left="1080" w:right="80" w:hanging="532"/>
        <w:spacing w:after="0" w:line="254"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Specificity:</w:t>
      </w:r>
      <w:r>
        <w:rPr>
          <w:rFonts w:ascii="Times New Roman" w:cs="Times New Roman" w:eastAsia="Times New Roman" w:hAnsi="Times New Roman"/>
          <w:sz w:val="18"/>
          <w:szCs w:val="18"/>
          <w:color w:val="auto"/>
        </w:rPr>
        <w:t xml:space="preserve"> Oligonucleotide-based ADAR-mediated RNA editing enables highly precise edits at the target single nucleotide level on the RNA with low risk of off-target or bystander edits, addressing a key safety concern associated with other DNA editing approaches that carry the risk of permanent insertions and deletions as well as chromosomal integration. Using synthetic oligonucleotides, appropriate chemical modifications can be introduced to increase the overall specificity and targeting efficiency for the site directed RNA editing. The OPERA oligonucleotides are designed to be highly site selective with minimal to no bystander effects or halo effects. To assess global off-target editing, we use a bulk RNA-seq approach to detect base frequency changes at potential off target sites between control and treated samples. We sequence target amplicons via NGS and assess potential A to G editing at all sites across the transcript. In preclinical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studies, we have shown that off-target RNA editing using our technology is negligible and transient.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82"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208280</wp:posOffset>
            </wp:positionV>
            <wp:extent cx="3522980" cy="19888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2298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 Overview of off-target editing observed in mice across multiple oligonucleotides</w:t>
      </w:r>
    </w:p>
    <w:p>
      <w:pPr>
        <w:spacing w:after="0" w:line="133" w:lineRule="exact"/>
        <w:rPr>
          <w:sz w:val="20"/>
          <w:szCs w:val="20"/>
          <w:color w:val="auto"/>
        </w:rPr>
      </w:pPr>
    </w:p>
    <w:p>
      <w:pPr>
        <w:ind w:left="1080" w:right="20" w:hanging="532"/>
        <w:spacing w:after="0" w:line="25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xml:space="preserve"> Oligonucleotide-based ADAR-mediated RNA leverages well established, clinically precedented delivery approaches used in other approved products, such as LNPs and ligand-based approaches. LNP-based delivery of oligonucleotides is a well established and clinically validated delivery approach that provides sustained targeted delivery and editing efficiency, resulting in infrequent dosing and an acceptable tolerability profile. Additionally, LNP delivery of RNA-editing oligonucleotides enhances optimal distribution to targeted cells. One example of a well-established and clinically validated ligand-based delivery approach is GalNAc delivery of oligonucleotides, which provides highly specific and effective delivery to hepatocytes with improved durability.</w:t>
      </w:r>
    </w:p>
    <w:p>
      <w:pPr>
        <w:spacing w:after="0" w:line="92"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Tolerability</w:t>
      </w:r>
      <w:r>
        <w:rPr>
          <w:rFonts w:ascii="Times New Roman" w:cs="Times New Roman" w:eastAsia="Times New Roman" w:hAnsi="Times New Roman"/>
          <w:sz w:val="18"/>
          <w:szCs w:val="18"/>
          <w:color w:val="auto"/>
        </w:rPr>
        <w:t>: ADAR-mediated RNA editing has a low risk of immunogenicity and can potentially lower off-target editing events resulting in an improved tolerability profile compared to DNA editing approaches. The lower risk of immunogenicity enables the ability to re-dose patients if required, a significant limitation of editing approaches that utilize viral vectors and bacterial Cas systems that carry a higher risk of immunogenicity. The transient and reversible nature of ADAR-based editing confers an ability to modify or cease dosing as needed.</w:t>
      </w:r>
    </w:p>
    <w:p>
      <w:pPr>
        <w:spacing w:after="0" w:line="85"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Reliance on endogenous ADAR enzymes and the simple drug constructs of oligonucleotide-based therapies has significant advantages over the complexities associated with the manufacturing and delivery of multi-component exogenous complexes used in DNA editing. Manufacturing processes for oligonucleotide-based therapies are well established, cost efficient and scalable to effectively address highly prevalent indications.</w:t>
      </w:r>
    </w:p>
    <w:p>
      <w:pPr>
        <w:spacing w:after="0" w:line="85"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xml:space="preserve"> Precedence of marketed oligonucleotide drugs with similar size and types of chemical modifications that therapeutic RNA editing product candidates exhibit. Guidance for the development of oligonucleotide therapeutics by global agencies, including the FDA, provides for an established pathway for the approval of this class of therapeutics. However, regulators have not yet established any definitive guidelines related to overall development considerations for RNA editing therapies and on clinical data has been generated to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OPERA – Oligonucleotide Promoted Editing of RNA – Platform</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believe we are the leading RNA editing company and have assembled a suite of technologies and capabilities called OPERA, Oligonucleotide Promoted Editing of RNA, to generate differentiated RNA editing product candidates. A key challenge in developing a therapeutic approach for site-directed RNA editing is to design and optimize oligonucleotides that can drive high-efficiency. This efficiency is facilitated both by the ability to repurpose and optimize oligonucleotide constructs based on existing methods as well as utilizing computational methods to innovate on chemistry and design of the constructs. Our RNA editing product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82"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candidates are oligonucleotides capable of forming Watson-Crick base pairing with the target RNA and efficiently inducing the deamination reaction by endogenously recruiting ADAR enzymes.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assembled a suite of technologies and capabilities to build our RNA editing platform, Oligonucleotide Promoted Editing of RNA, or OPERA.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 relies on the following key components that enable us to generate our differentiated RNA editing product candidates:</w:t>
      </w:r>
    </w:p>
    <w:p>
      <w:pPr>
        <w:spacing w:after="0" w:line="131" w:lineRule="exact"/>
        <w:rPr>
          <w:sz w:val="20"/>
          <w:szCs w:val="20"/>
          <w:color w:val="auto"/>
        </w:rPr>
      </w:pPr>
    </w:p>
    <w:p>
      <w:pPr>
        <w:ind w:left="1080" w:hanging="532"/>
        <w:spacing w:after="0" w:line="253"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Deep understanding from ADAR biology:</w:t>
      </w:r>
      <w:r>
        <w:rPr>
          <w:rFonts w:ascii="Times New Roman" w:cs="Times New Roman" w:eastAsia="Times New Roman" w:hAnsi="Times New Roman"/>
          <w:sz w:val="18"/>
          <w:szCs w:val="18"/>
          <w:color w:val="auto"/>
        </w:rPr>
        <w:t xml:space="preserve"> Our insights and know-how of ADAR biology allow us to design oligonucleotides that efficiently recruit ADARs and promote deamination while maintaining selectivity and stability. RNA editing is dependent on endogenous ADAR expression levels and requires a deep understanding of the physiological role of ADAR, its cell and tissue distribution, the factors that lead to efficient recruitment of ADAR to targeted sites and any consequences that may arise from co-opting ADAR from its normal function. We have developed a cell-free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RNA editing assay with purified human ADAR1 and ADAR2 that predicts the RNA editing activity with our oligonucleotides. With our cell free assay capability, we are able to limit the number of components implicated in screening (target gene, RNA editing product candidates and ADAR), allowing us to measure the kinetics of RNA editing more accurately. Using only three components including the target RNA, oligonucleotide, and ADAR, we have shown that target editing efficiency is correlated with the chemical modification pattern of an oligonucleotide. Furthermore, we have found that this activity predicts the rank order of oligonucleotides in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cell-based systems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rodents. This assay capability supports our understanding of the key steps required to edit RNA at a level of detail that is not possible in cells. These platform biology assay capabilities have enabled detailed mechanistic studies into the tissue distribution and subcellular localization of ADAR proteins and our RNA editing product candidates.</w:t>
      </w:r>
    </w:p>
    <w:p>
      <w:pPr>
        <w:spacing w:after="0" w:line="92" w:lineRule="exact"/>
        <w:rPr>
          <w:rFonts w:ascii="Times New Roman" w:cs="Times New Roman" w:eastAsia="Times New Roman" w:hAnsi="Times New Roman"/>
          <w:sz w:val="18"/>
          <w:szCs w:val="18"/>
          <w:color w:val="auto"/>
        </w:rPr>
      </w:pPr>
    </w:p>
    <w:p>
      <w:pPr>
        <w:ind w:left="1080" w:right="100" w:hanging="532"/>
        <w:spacing w:after="0" w:line="25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found no evidence that our RNA editing oligonucleotides interfere with endogenous RNA editing occurring naturally in a cell. ADAR naturally edits thousands of targets for a variety of reasons. We have looked at natural editing sites and chose AJUBA, COG and COPA as they have shown to be edited by ADAR to different degrees. In this experiment outlined in Figure 3, ZZ HLC cell lines were transfected with RNA editing product candidates targeting two different genes. The assays were evaluated for % editing for Target A and Target B sites as well as natural editing sites in COG, COPA and AJUBA. As shown below, natural editing sites remained unaffected compared to the control group, demonstrating that our RNA editing product candidates are not likely to have any effect on the degree of editing of native RNA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1259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3. Our RNA editing product candidates show no evidence of interference with endogenous ADAR editing as demonstrated at the above sites</w:t>
      </w:r>
    </w:p>
    <w:p>
      <w:pPr>
        <w:spacing w:after="0" w:line="133" w:lineRule="exact"/>
        <w:rPr>
          <w:sz w:val="20"/>
          <w:szCs w:val="20"/>
          <w:color w:val="auto"/>
        </w:rPr>
      </w:pPr>
    </w:p>
    <w:p>
      <w:pPr>
        <w:ind w:left="1080" w:right="12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Expertise in oligonucleotide chemistry:</w:t>
      </w:r>
      <w:r>
        <w:rPr>
          <w:rFonts w:ascii="Times New Roman" w:cs="Times New Roman" w:eastAsia="Times New Roman" w:hAnsi="Times New Roman"/>
          <w:sz w:val="18"/>
          <w:szCs w:val="18"/>
          <w:color w:val="auto"/>
        </w:rPr>
        <w:t xml:space="preserve"> We have a differentiated ability to create oligonucleotide designs capable of efficiently recruiting endogenous ADAR with chemical modifications that direct high specificity editing. Our oligonucleotides increase the potency and durability of ADAR activation,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60"/>
          </w:cols>
          <w:pgMar w:left="320" w:top="482"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4" w:lineRule="auto"/>
        <w:rPr>
          <w:sz w:val="20"/>
          <w:szCs w:val="20"/>
          <w:color w:val="auto"/>
        </w:rPr>
      </w:pPr>
      <w:r>
        <w:rPr>
          <w:rFonts w:ascii="Times New Roman" w:cs="Times New Roman" w:eastAsia="Times New Roman" w:hAnsi="Times New Roman"/>
          <w:sz w:val="18"/>
          <w:szCs w:val="18"/>
          <w:color w:val="auto"/>
        </w:rPr>
        <w:t>thereby increasing the editing efficiency and translational efficacy of our product candidates. We have identified critical structural, sequence, and chemistry requirements for our product candidates that drive efficient recruitment of ADARs and subsequent A-to-I editing. Examples of differentiation include oligonucleotide length for efficient ADAR recruitment, use of precedented and proprietary chemistries within the oligonucleotide, as well as backbone chemistries that provide improved metabolic stability. Additionally, we combine this with 2’ modification chemistries that, together, create oligonucleotides with improved editing efficiency and durability. As RNA editing is an emerging technology, there is a lack of guiding principles to design site-selective RNA editing oligonucleotide product candidates. To address this knowledge gap, we developed a robust in-house process using our high-throughput cell-based assay and machine learning capabilities to design and synthesize up to approximately 1,200 oligonucleotides per month and generate up to 6,000 assay data points for any given target.</w:t>
      </w:r>
    </w:p>
    <w:p>
      <w:pPr>
        <w:spacing w:after="0" w:line="94" w:lineRule="exact"/>
        <w:rPr>
          <w:sz w:val="20"/>
          <w:szCs w:val="20"/>
          <w:color w:val="auto"/>
        </w:rPr>
      </w:pPr>
    </w:p>
    <w:p>
      <w:pPr>
        <w:ind w:left="1080" w:hanging="532"/>
        <w:spacing w:after="0" w:line="25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Machine learning optimization of oligonucleotides:</w:t>
      </w:r>
      <w:r>
        <w:rPr>
          <w:rFonts w:ascii="Times New Roman" w:cs="Times New Roman" w:eastAsia="Times New Roman" w:hAnsi="Times New Roman"/>
          <w:sz w:val="18"/>
          <w:szCs w:val="18"/>
          <w:color w:val="auto"/>
        </w:rPr>
        <w:t xml:space="preserve"> We have built data science capabilities and a dedicated team to extract lessons from existing and newly generated experimental data to expeditiously design and optimize RNA editing product candidates. Our proprietary machine learning models have been trained to accurately predict oligonucleotide structure and observed levels of editing. We have been able to demonstrate that these models are able to make accurate editing predictions even for previously unseen chemical modifications demonstrating their generalizability across targets. We have demonstrated the utility of our machine learning models through an increase in overall editing efficiency of new product candidates over the last several quarters. In some cases, we have been able to go from design-to-data in as little as five weeks. However, there is no guarantee that this will result in an accelerated development or approval timeline,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150495</wp:posOffset>
            </wp:positionV>
            <wp:extent cx="3823335" cy="1842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2333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4. We have shown our ability to rapidly iterate product candidates to maximize editing efficiency</w:t>
      </w:r>
    </w:p>
    <w:p>
      <w:pPr>
        <w:spacing w:after="0" w:line="133" w:lineRule="exact"/>
        <w:rPr>
          <w:sz w:val="20"/>
          <w:szCs w:val="20"/>
          <w:color w:val="auto"/>
        </w:rPr>
      </w:pPr>
    </w:p>
    <w:p>
      <w:pPr>
        <w:ind w:left="1080" w:right="140" w:hanging="532"/>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Structural modeling is another tool that complements our ability to increase the efficiency of our RNA editing candidates. Detailed structural modeling includes shape, size and orientation requirements that can lead to successful deamination at the editing site. These aspects have an important impact on our ability to optimize RNA editing product candidates. As an example, a modification predicted by structural analyses led to a conformational change that was shown to improve editing efficiency in the coding region of the Target A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vivo</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208280</wp:posOffset>
            </wp:positionV>
            <wp:extent cx="2691765" cy="1637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917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5. We have a demonstrated ability to improve editing in target coding regions</w:t>
      </w:r>
    </w:p>
    <w:p>
      <w:pPr>
        <w:spacing w:after="0" w:line="133" w:lineRule="exact"/>
        <w:rPr>
          <w:sz w:val="20"/>
          <w:szCs w:val="20"/>
          <w:color w:val="auto"/>
        </w:rPr>
      </w:pPr>
    </w:p>
    <w:p>
      <w:pPr>
        <w:ind w:left="1080" w:hanging="532"/>
        <w:spacing w:after="0" w:line="25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Fit-for-purpose delivery:</w:t>
      </w:r>
      <w:r>
        <w:rPr>
          <w:rFonts w:ascii="Times New Roman" w:cs="Times New Roman" w:eastAsia="Times New Roman" w:hAnsi="Times New Roman"/>
          <w:sz w:val="18"/>
          <w:szCs w:val="18"/>
          <w:color w:val="auto"/>
        </w:rPr>
        <w:t xml:space="preserve"> Our product candidates utilize short synthetic oligonucleotides, which we believe can be efficiently delivered using technologies such as LNP or GalNAc. These delivery technologies are well established and clinically validated and have been developed for precedented modalities such as siRNAs and ASOs. Each of these delivery vehicles has optimal characteristics suited for a given therapeutic application. We have shown in preclinical studies that LNP can be used in ADAR mediated editing processes to achieve high editing efficiency. Additionally, LNP mediated delivery of RNA editing product candidates provides sustained delivery and an acceptable tolerability profile that have been manufactured at a scale sufficient to serve the target population. In addition to LNP based delivery approach, ligand-based approaches (ex., GalNAc for liver hepatocytes) can also be used for effective delivery and to improve durability with OPERA’s RNA editing product candidates, which we have also evaluated in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In contrast to treatments targeting liver hepatocytes where there is a need for a delivery system, our RNA editing product candidates have been delivered intrathecally to the central nervous system without a need for any delivery system in preclinical mouse models. Thus, our choice of delivery system is a fit-for-purpose model that is dependent on the oligonucleotide design as well the suitability for the indication and tissue localization of the target. However, this delivery system has not yet been finalized and while LNPs have been validated clinically to deliver oligonucleotides, such as siRNA, they have not been clinically proven to deliver oligonucleotides for RNA editing, such as our product candidates.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Pipeline Demonstrates the Versatility of the OPERA Platform</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advancing a broad pipeline of four programs that are wholly owned and demonstrate the versatility of our OPERA platform. In addition, we have two other wholly-owned programs not reflected in the pipeline chart below: one for an undisclosed target for sAH, and one for a kinase target for cardiometabolic disease. All of our programs are still in the research or preclinical stage of development and their risk of failure is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140335</wp:posOffset>
            </wp:positionV>
            <wp:extent cx="5023485" cy="1405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2348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right="5340" w:hanging="5384"/>
        <w:spacing w:after="0" w:line="367" w:lineRule="auto"/>
        <w:tabs>
          <w:tab w:leader="none" w:pos="55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submission of regulatory filing and authorization to proceed 119</w:t>
      </w:r>
    </w:p>
    <w:p>
      <w:pPr>
        <w:sectPr>
          <w:pgSz w:w="11900" w:h="16838" w:orient="portrait"/>
          <w:cols w:equalWidth="0" w:num="1">
            <w:col w:w="11100"/>
          </w:cols>
          <w:pgMar w:left="320" w:top="482"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proprietary oligonucleotides co-opt endogenous ADAR to perform a single A-to-I base edit on RNA to modify protein function. Delivery of these proprietary oligonucleotides into a cell forms an oligonucleotide-RNA duplex which recruits endogenous ADAR, ultimately editing a target adenosine (A) to inosine (I) on RNA. The location of the edit can lead to a multitude of effects including changes in expression and regulation of mRNA. In the event an edit is made in the coding region of the gene, the mRNA is then translated to a protein with the (I) inosine read as a</w:t>
      </w:r>
    </w:p>
    <w:p>
      <w:pPr>
        <w:spacing w:after="0" w:line="3" w:lineRule="exact"/>
        <w:rPr>
          <w:sz w:val="20"/>
          <w:szCs w:val="20"/>
          <w:color w:val="auto"/>
        </w:rPr>
      </w:pPr>
    </w:p>
    <w:p>
      <w:pPr>
        <w:ind w:left="120" w:right="260" w:hanging="4"/>
        <w:spacing w:after="0" w:line="255" w:lineRule="auto"/>
        <w:tabs>
          <w:tab w:leader="none" w:pos="4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guanosine, resulting in a modified protein. The resultant therapeutic protein can be applied to go beyond repairing pathogenic SNVs by changing amino acids on proteins implicated in disease biology. Single amino acid changes to non-mutated RNA can create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modified protein variants with desired altered properties while preserving their broader functional capabilities.</w:t>
      </w:r>
    </w:p>
    <w:p>
      <w:pPr>
        <w:spacing w:after="0" w:line="184"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Repairing pathogenic variants: </w:t>
      </w:r>
      <w:r>
        <w:rPr>
          <w:rFonts w:ascii="Times New Roman" w:cs="Times New Roman" w:eastAsia="Times New Roman" w:hAnsi="Times New Roman"/>
          <w:sz w:val="17"/>
          <w:szCs w:val="17"/>
          <w:color w:val="auto"/>
        </w:rPr>
        <w:t>Our OPERA platform enables the development of RNA editing therapies that can repair SNVs on mRNA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 normal proteins through the introduction of precise genetic changes without creating permanent changes to the genome. These normal proteins can be uniquely expressed at desired levels and duration to address both rare and highly prevalent diseases caused by a pathogenic SNV. This approach is especially relevant when the same underlying genetic SNV manifests in a broad disease phenotype from mild to severe forms of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134620</wp:posOffset>
            </wp:positionV>
            <wp:extent cx="2794635" cy="127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6. RNA editing of a single nucleotide can restore normal protein expression</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lead program for AATD addresses a single genetic SNV in the SERPINA1 gene that causes the development of A1AT deficiency, which has a high unmet medical need and for which there are no disease modifying treatment options. The disease manifests with a heterogenous population having both liver and lung pathologies. By specifically editing a single nucleotide, the normal synthesis of A1AT is restored, resulting in secretion of normal A1AT to levels which are predicted to protect the lung from further decline in function. The correction of a subset of A1AT produced also prevents aggregation of A1AT protein in the liver, thereby potentially alleviating damage to the liver.</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Similarly, we are developing a product candidate that addresses a LRRK2 mutation for PD patients. Mutations in LRRK2 that are associated with aberrantly enhanced kinase activity are the most common cause of genetic PD. The G2019S mutation in the LRRK2 protein is the most common pathogenic mutation, accounting for 1–6% of sporadic and 3–19% of familial PD cases. Repairing the G2019S mutated nucleotide can restore the normal LRRK2 protein and return its activity to a physiological state, which we believe may be disease modifying in these patients.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 protein modifications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Approximately 85% of the human proteome has historically been considered undruggable through traditional therapeutic modalities as many proteins lack defined small molecule binding sites or are inaccessible by biologics. The versatility of RNA editing, combined with our OPERA platform, addresses a meaningful portion of the undruggable human proteome and broadens the target space. Our target identification and selection for programs is based on strong genetic evidence implicating each target in its disease pathology.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initial focus is to make edits to the coding region of a transcriptome. Making changes post-transcriptionally, after the mRNA has been created and prior to the protein being translated, provides an exquisite, selective approach for modifying proteins. In preclinical studies, we have demonstrated that single RNA changes can disrupt protein-protein interactions, prevent protein aggregation, selectively modulate an ion channel and selectively activate a kinase. These modification approaches have the potential to unlock validated target classes that have historically been difficult to drug, enabling us to pursue a broad range of diseases, including those with high prevalence and large 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145415</wp:posOffset>
            </wp:positionV>
            <wp:extent cx="5092065" cy="18256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9206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Disrupting Protein-Protein Interaction: </w:t>
      </w:r>
      <w:r>
        <w:rPr>
          <w:rFonts w:ascii="Times New Roman" w:cs="Times New Roman" w:eastAsia="Times New Roman" w:hAnsi="Times New Roman"/>
          <w:sz w:val="18"/>
          <w:szCs w:val="18"/>
          <w:color w:val="auto"/>
        </w:rPr>
        <w:t>Modulating protein-protein interactions provides a novel modality to target intracellular proteins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for increasing the activity of the protein. Single amino acid changes to non-mutated RNA can disrupt binding of inhibitors to target proteins, including transcription factors, promoting enhanced biological activity of the target protein. There are two ways this could provide increasing activation, either through a hyperactive protein, or through the presence of a longer half-life or both. Such an approach highlights the broad capabilities of what an RNA editing platform can accomplish in driving biological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146685</wp:posOffset>
            </wp:positionV>
            <wp:extent cx="5092065" cy="15176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9206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7. Our oligonucleotides have the ability to disrupt protein-protein interactions using precise edits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programs for disrupting protein-protein interactions is in development for the treatment of severe alcohol-associated hepatitis (sAH). We are selectively modulating a validated transcription factor protein implicated in the disease pathology for sAH. This oligonucleotide product candidate leads to the synthesis of a protein variant that disrupts interaction with its inhibitor and, as a result, increases expression of clinically beneficial downstream target genes. Other approaches have attempted to disrupt the interaction with non-selective small molecules, resulting in unacceptable side effects, or by knocking down the regulatory protein, which is also responsible for regulating other important proteins. In a retrospective analysis of a study looking at sAH patient liver samples, increased expression of these target genes has been shown to have better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82"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prognosis. In addition to sAH, this transcription factor is a validated target for other liver, cardiometabolic and inflammatory diseases, which may provide a “pipeline-in-a-product” opportunity.</w:t>
      </w:r>
    </w:p>
    <w:p>
      <w:pPr>
        <w:spacing w:after="0" w:line="160" w:lineRule="exact"/>
        <w:rPr>
          <w:sz w:val="20"/>
          <w:szCs w:val="20"/>
          <w:color w:val="auto"/>
        </w:rPr>
      </w:pPr>
    </w:p>
    <w:p>
      <w:pPr>
        <w:ind w:left="120" w:right="7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Target Classes: </w:t>
      </w:r>
      <w:r>
        <w:rPr>
          <w:rFonts w:ascii="Times New Roman" w:cs="Times New Roman" w:eastAsia="Times New Roman" w:hAnsi="Times New Roman"/>
          <w:sz w:val="18"/>
          <w:szCs w:val="18"/>
          <w:color w:val="auto"/>
        </w:rPr>
        <w:t>In addition to disrupting protein-protein interactions, we are also advancing product candidates to prevent protein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aggregation, selectively modulate ion channels and activate kinases.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Intracellular protein aggregation is a cause of multiple diseases across the body. Specifically in neurodegenerative diseases, accumulation of specific proteins within neurons are pathogenic including Alzheimer’s disease, PD, and ALS. Creating a protein variant that can prevent the aggregation, while preserving its intrinsic function, is a therapeutic approach that has the potential to provide a differentiated therapeutic option over knocking down or silencing the protein through alternate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142875</wp:posOffset>
            </wp:positionV>
            <wp:extent cx="4363085" cy="1602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6308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8. Our product candidates can reduce pathogenic aggregation of undesirable proteins</w:t>
      </w:r>
    </w:p>
    <w:p>
      <w:pPr>
        <w:spacing w:after="0" w:line="22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One of our programs for disrupting protein aggregation is in early-stage discovery for the treatment of ALS. We are selectively modulating TDP-43, an RNA/DNA-binding protein, which carries out a variety of important functions in healthy neurons including initiation of transcription, pre-mRNA splicing, and miRNA processing. In pathological conditions, such as ALS, TDP-43 is depleted from the nucleus and accumulates as protein aggregates in the cytoplasm in hyperphosphorylated, ubiquitinated, and cleaved forms. These aggregates are observed in more than 90% of ALS patients. A single RNA edit to TDP-43 is predicted to lead to the synthesis of a protein variant that does not aggregate and preserves its normal function. Given TDP-43 is essential for neuronal health, knocking down the protein could be detrimental.</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elegance and versatility of our RNA editing approach will enable a robust pipeline of potentially disease modifying product candidates to treat diseases previously unattainable by genetic medicine approaches. While the above examples demonstrate the breadth of applications enabled by OPERA, we believe our RNA editing approach will bring the first genetic medicine to address the complex genetic underpinnings of highly prevalent diseases.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AATD Program: RNA Editing to Repair Pathogenic Missense Variant</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most advanced program is a product candidate for Alpha-1 Antitrypsin Deficiency, or AATD, that has the potential to be disease-modifying and provide a differentiated therapeutic option. AATD is an inherited genetic disorder that can cause severe progressive lung and liver disease due to a lack of normal alpha-1 antitrypsin protein, or A1AT, with varying intensity based on patient genotype and environmental factors. Patients often develop chronic obstructive pulmonary disorder, or COPD, in the lungs and cirrhosis of the liver, which can result in liver failure or death.</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There are an estimated 3.4 million individuals with deficiency allele combinations worldwide. There is a single approved modality, a once-a-week infusion of pooled human plasma derived A1AT, that does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82"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adequately address the lung or liver manifestations of AATD. Within the United States alone, the opportunity to improve the existing standard of care and expand the treated population represents a large market opportunity.</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product candidate is a proprietary RNA editing oligonucleotide that is delivered to liver cells using an established LNP platform to restore production of normal A1AT. The product candidate is expected to be delivered via intravenous infusion, where it co-opts endogenous ADAR to repair the pathogenic SNV and restore production of normal A1AT, creating a clinically differentiated benefit for both liver and lung function in affected individuals.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 inherent benefits of ADAR-based RNA editing described earlier, we believe our approach has additional potential advantages:</w:t>
      </w:r>
    </w:p>
    <w:p>
      <w:pPr>
        <w:spacing w:after="0" w:line="131" w:lineRule="exact"/>
        <w:rPr>
          <w:sz w:val="20"/>
          <w:szCs w:val="20"/>
          <w:color w:val="auto"/>
        </w:rPr>
      </w:pPr>
    </w:p>
    <w:p>
      <w:pPr>
        <w:ind w:left="1080" w:right="64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disease modifying therapy for both lung and liver manifestations by transiently editing over 50% of RNA transcripts in hepatocytes to restore normal A1AT protein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treatment option that can be tailored to address the broad spectrum of severity within the AATD population</w:t>
      </w:r>
    </w:p>
    <w:p>
      <w:pPr>
        <w:spacing w:after="0" w:line="130"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enable physiologic regulation of A1AT using endogenous ADAR, thereby increasing normal A1AT production during inflammation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Fit-for-purpose delivery using a proven LNP to maximize editing efficiency, leading to greater potential clinical benefit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generated compelling preclinical data demonstrating proof of concept across multiple RNA editing oligonucleotides that have the potential to become the lead development candidate. These potential development candidates have each achieved targeted durability, high editing efficiency (&gt;50% editing of hepatocytes) and increased expression of normal A1AT protein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 (&gt;70% of total A1AT protein in circulation). We have also shown that our product candidates have high translation of RNA editing efficiency from mice to non-human primates, or NHPs, demonstrating the potential applicability of our approach in humans. While we believe we can demonstrate many of the key advantages of RNA editing,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Based on the totality of the preclinical data generated to date, we intend to nominate our development candidate in the fourth quarter of 2023. The development candidate will then be tested in studies to enable a regulatory filing in the second half of 2024. Depending on the evidence of efficacy and tolerability for our candidate in our first clinical study, we plan to pursue expedited regulatory pathways, including potentially requesting Fast Track Designation and Breakthrough Therapy Designation.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AATD Overview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A1AT function</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A1AT is a protease inhibitor belonging to the Serpin family. It is produced in the liver and circulates in its native state in human blood at approximately 1.5 g/L, one of the highest concentrations observed for protease inhibitors. The main role of A1AT is to protect tissue from proteases released by neutrophils, such as neutrophil elastase. Neutrophil elastase is an enzyme that fights infections in the lungs but can also attack normal lung tissue. If not sufficiently inhibited by A1AT, neutrophil elastase destroys elastin in the lung, leading to degradation of lung function. Factors that increase lung inflammation, such as smoking or infections, increase the elastase burden in the lung, leading to severe and potentially life-threatening lung damage in AATD patients.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82"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Genotypes of AATD</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AATD is an inherited, autosomal recessive genetic disorder that is most frequently caused by a single nucleotide variant, or SNV, mutation in the SERPINA1 gene. The most common of these SNVs is the “Z” mutation, corresponding to a mutation of glutamate 342 to lysine, or E342K. A healthy individual typically exhibits an “MM” genotype, or PiMM, while an individual with a single Z allele would exhibit a heterozygous PiMZ, genotype and an individual with two Z alleles would exhibit a homozygous, or PiZZ, genotype.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142875</wp:posOffset>
            </wp:positionV>
            <wp:extent cx="4354830" cy="925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5483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9. PiMM genotype (normal liver and lung)</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of Z mutations on liver and lung function</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presence of a single Z allele can lead to insufficient production of normal A1AT protein, as well as the production of dysfunctional A1AT protein, causing manifestations of disease in both the lungs and liver. The severity of disease manifestation can vary according to each patient’s genotype, as well as environmental factors, such as exposure to inflammatory respiratory agents or other complications.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PiZZ individuals experience greater manifestations of disease as a result of their very low levels of normal A1AT (10%—15% of normal levels), which are insufficient to prevent lung damage post an influx of neutrophils. They are also at high risk of developing emphysema or COPD, which can present in individuals as early as in their thirties and forties. PiZZ individuals with additional environmental risk factors such as smoking or infection frequently develop COPD as early adults and develop very severe symptoms.</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to lung disease, PiZZ individuals can also manifest with liver disease as a result of dysfunctional A1AT aggregating in the liver. In adults, this can cause liver inflammation and cirrhosis, ultimately leading to liver failure or cancer. In addition, as many as 10% of newborns with the PiZZ genotype develop cholestatic hepatitis. A quarter of impacted neonates suffer acute liver failure and require an emergency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140335</wp:posOffset>
            </wp:positionV>
            <wp:extent cx="4080510" cy="21088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8051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10. PiZZ genotype that results in fibrotic liver and decreased lung function</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82"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Data from the UK Biobank, or UKBB, as well as published literature, have allowed researchers to determine the threshold levels of circulating A1AT that are directly linked to the PiMZ and PiZZ genotypes. In Figure 11 below, the range of A1AT levels associated with normal individuals (PiMM) is compared with the range of A1AT levels observed in mutated PiMZ and PiZZ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140335</wp:posOffset>
            </wp:positionV>
            <wp:extent cx="4954905" cy="1663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5490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11. Median Levels of A1AT and link to outcomes in liver and lung</w:t>
      </w:r>
    </w:p>
    <w:p>
      <w:pPr>
        <w:spacing w:after="0" w:line="22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Figure 12 below, the Odds Ratios, or OR, associated with developing COPD and cirrhosis of the liver are compared across the two genotypes, with key findings summarized below:</w:t>
      </w:r>
    </w:p>
    <w:p>
      <w:pPr>
        <w:spacing w:after="0" w:line="67" w:lineRule="exact"/>
        <w:rPr>
          <w:sz w:val="20"/>
          <w:szCs w:val="20"/>
          <w:color w:val="auto"/>
        </w:rPr>
      </w:pPr>
    </w:p>
    <w:p>
      <w:pPr>
        <w:ind w:left="1080" w:right="2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COPD:</w:t>
      </w:r>
      <w:r>
        <w:rPr>
          <w:rFonts w:ascii="Times New Roman" w:cs="Times New Roman" w:eastAsia="Times New Roman" w:hAnsi="Times New Roman"/>
          <w:sz w:val="18"/>
          <w:szCs w:val="18"/>
          <w:color w:val="auto"/>
        </w:rPr>
        <w:t xml:space="preserve"> PiMZ individuals have minimal increased risk of developing COPD relative to healthy PiMM individuals, while PiZZ individuals are at very high risk with an OR of 8.8</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Cirrhosis of the liver:</w:t>
      </w:r>
      <w:r>
        <w:rPr>
          <w:rFonts w:ascii="Times New Roman" w:cs="Times New Roman" w:eastAsia="Times New Roman" w:hAnsi="Times New Roman"/>
          <w:sz w:val="18"/>
          <w:szCs w:val="18"/>
          <w:color w:val="auto"/>
        </w:rPr>
        <w:t xml:space="preserve"> PiMZ individuals have mildly elevated risk of developing cirrhosis of the liver with an OR of 1.5, while PiZZ individuals have significantly elevated risk with an OR of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131445</wp:posOffset>
            </wp:positionV>
            <wp:extent cx="4594860" cy="2065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9486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i w:val="1"/>
          <w:iCs w:val="1"/>
          <w:color w:val="auto"/>
        </w:rPr>
        <w:t>Figure 12. Risk of developing COPD and cirrhosis for different genotypes associated with AATD. Adapted from “The undiagnosed disease burden associated with alpha-1 antitrypsin deficiency genotypes.” by Nakanishi T, Forgetta V, Handa T, et al. Eur Respir J 2020; 56:2001441</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on these findings, we believe that achieving normal A1AT protein levels between the ranges of the PiMZ and PiMM genotypes has the potential to alleviate the increased risk of COPD and cirrhosis of the liver, and to meaningfully improve clinical outcomes for PiZZ patients. We further believe that by achieving &gt;50% editing efficiency across cells, we can reach these target levels and modify disease progression.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40"/>
          </w:cols>
          <w:pgMar w:left="320" w:top="482" w:right="5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Prevalence of AATD and limitations of currently approved therapy</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AATD is one of the three most common, potentially lethal, rare diseases affecting those of European descent. Worldwide, there are an estimated 3.4 million individuals with deficiency allele combinations. Studies suggest that clinical unawareness of AATD results in a significant number of patients that go undiagnosed or misdiagnosed. There are currently an estimated 100,000 patients in the United States with a PiZZ genotype, and 125,000 patients across the United Kingdom, Germany, France, Spain and Italy. Studies of PiMZ prevalence suggest as many as one in 49 individuals in the United States and one in 58 individuals across Europe.</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only FDA-approved treatment for patients with lung manifestations of AATD (co-indicated with COPD) is augmentation therapy, which utilizes A1AT protein purified from pooled human plasma. The purified A1AT is administered weekly by intravenous infusion with the goal of maintaining a serum level of A1AT above the 11 µM threshold. Even when the serum level can be maintained at or above this threshold, augmentation therapy has not clearly demonstrated its ability to adequately address lung damage nor liver inflammation caused by A1AT aggregation. Augmentation therapy is approved in only a few countries due to its limited efficacy. Lung and/or liver transplantation are the only other available treatment options, outside of standard management of the disease manifestations of AATD.</w:t>
      </w:r>
    </w:p>
    <w:p>
      <w:pPr>
        <w:spacing w:after="0" w:line="1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Despite being minimally effective and not fully addressing the needs of many AATD patients, augmentation therapy currently represents</w:t>
      </w:r>
    </w:p>
    <w:p>
      <w:pPr>
        <w:spacing w:after="0" w:line="27" w:lineRule="exact"/>
        <w:rPr>
          <w:sz w:val="20"/>
          <w:szCs w:val="20"/>
          <w:color w:val="auto"/>
        </w:rPr>
      </w:pPr>
    </w:p>
    <w:p>
      <w:pPr>
        <w:ind w:left="120" w:right="260"/>
        <w:spacing w:after="0" w:line="260" w:lineRule="auto"/>
        <w:rPr>
          <w:sz w:val="20"/>
          <w:szCs w:val="20"/>
          <w:color w:val="auto"/>
        </w:rPr>
      </w:pPr>
      <w:r>
        <w:rPr>
          <w:rFonts w:ascii="Times New Roman" w:cs="Times New Roman" w:eastAsia="Times New Roman" w:hAnsi="Times New Roman"/>
          <w:sz w:val="18"/>
          <w:szCs w:val="18"/>
          <w:color w:val="auto"/>
        </w:rPr>
        <w:t>~$1.4 billion in annual sales worldwide. Our product candidate has the potential to elevate the standard of care and expand the number of patients on treatment and potential to be a leader with a large market opportunity worldwide.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Alternative Treatments in Development for AATD</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There are a number of therapies in development to treat AATD. Certain DNA editing approaches attempt to add a normal copy of SERPINA1 gene or permanently correct the mutation within the SERPINA1 gene. DNA editing as a treatment would likely be evaluated on a risk-benefit trade-off relative to the severity of the manifestation of AATD, limiting the applicability of DNA editing approaches to the broader AATD patient population.</w:t>
      </w:r>
    </w:p>
    <w:p>
      <w:pPr>
        <w:spacing w:after="0" w:line="15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Additional approaches outside of DNA editing are also in development. There are approaches which attempt to use siRNA to knock-out the production of dysfunctional A1AT protein, which only alleviates the liver manifestation of AATD, while potentially worsening the lung manifestation. Replacing plasma derived protein for augmentation therapy with a fusion protein is another approach in development. This fusion protein aims to introduce A1AT on an antibody scaffold to improve upon the existing dosing paradigm and activity levels achieved in augmentation therapy. Fusion proteins do not resolve the liver manifestation and are unable to physiologically regulate A1AT levels. Lastly, small molecule correctors attempt to promote proper folding of the Z-AAT protein. To date, small molecule correctors have been unable to achieve normal A1AT levels and clinical development is focused only on the liver manifestation of AATD.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many of these approaches have inherent limitations including the following:</w:t>
      </w:r>
    </w:p>
    <w:p>
      <w:pPr>
        <w:spacing w:after="0" w:line="131"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adequately address the spectrum of clinical pathologies associated with AATD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adequate expression of normal A1AT to bring patients back to PiMM genotype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Considerable safety and tolerability concerns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issues around manufacturability and scalability for the AATD population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Overcome the Limitations: Transiently Correcting the SERPINA1 Variant on RNA</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a product candidate to treat patients with AATD that is designed to leverage endogenous ADAR to make a single base edit in SERPINA1 mRNA, correcting the amino acid codon created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82"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pathogenic E342K SNV which stems from a single G-to-A mutation. Our product candidates edit the adenosine (A) to an inosine (I), correcting the faulty amino acid and leading to the production of normal A1AT protein.</w:t>
      </w:r>
    </w:p>
    <w:p>
      <w:pPr>
        <w:spacing w:after="0" w:line="16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goal is to bring individuals with the Z mutation to a phenotype where over 50% of RNA has been corrected to produce normal A1AT protein. This would result in levels of A1AT consistent with individuals in the upper half of the PiMZ genotype and the fully healthy PiMM genotype. Through human transgenic mouse models, we have shown our ability to drive the required change in RNA sequence with high efficiency, leading to secretion of A1AT at target levels.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approach has multiple potential advantages, in addition to those conferred by the RNA editing modality:</w:t>
      </w:r>
    </w:p>
    <w:p>
      <w:pPr>
        <w:spacing w:after="0" w:line="127" w:lineRule="exact"/>
        <w:rPr>
          <w:sz w:val="20"/>
          <w:szCs w:val="20"/>
          <w:color w:val="auto"/>
        </w:rPr>
      </w:pPr>
    </w:p>
    <w:p>
      <w:pPr>
        <w:ind w:left="1080" w:right="60" w:hanging="532"/>
        <w:spacing w:after="0" w:line="26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a tailored disease modifying treatment option to address the heterogeneity of the AATD population: </w:t>
      </w:r>
      <w:r>
        <w:rPr>
          <w:rFonts w:ascii="Times New Roman" w:cs="Times New Roman" w:eastAsia="Times New Roman" w:hAnsi="Times New Roman"/>
          <w:sz w:val="18"/>
          <w:szCs w:val="18"/>
          <w:color w:val="auto"/>
        </w:rPr>
        <w:t>We leverage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transient base editing approach leading to restoration of normal A1AT. The transient nature of our approach allows us to address a broader AATD patient population, inclusive of PiMZ and PiZZ genotypes. As transient editing is not permanent in nature, we have the ability to adjust dosing and even cease dosing as needed, providing a meaningful benefit in potential safety profile.</w:t>
      </w:r>
    </w:p>
    <w:p>
      <w:pPr>
        <w:spacing w:after="0" w:line="81" w:lineRule="exact"/>
        <w:rPr>
          <w:rFonts w:ascii="Times New Roman" w:cs="Times New Roman" w:eastAsia="Times New Roman" w:hAnsi="Times New Roman"/>
          <w:sz w:val="18"/>
          <w:szCs w:val="18"/>
          <w:color w:val="auto"/>
        </w:rPr>
      </w:pPr>
    </w:p>
    <w:p>
      <w:pPr>
        <w:ind w:left="1080" w:right="20" w:hanging="532"/>
        <w:spacing w:after="0" w:line="26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a disease modifying therapy for both lung and liver manifestations: </w:t>
      </w:r>
      <w:r>
        <w:rPr>
          <w:rFonts w:ascii="Times New Roman" w:cs="Times New Roman" w:eastAsia="Times New Roman" w:hAnsi="Times New Roman"/>
          <w:sz w:val="18"/>
          <w:szCs w:val="18"/>
          <w:color w:val="auto"/>
        </w:rPr>
        <w:t>By transiently editing over 50% of RNA transcripts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hepatocytes, we believe we can restore levels of normal A1AT protein consistent with a PiMZ to PiMM phenotype. These levels of normal A1AT have the potential to prevent further lung damage and reduce the risk of dysfunctional A1AT aggregating in the liver.</w:t>
      </w:r>
    </w:p>
    <w:p>
      <w:pPr>
        <w:spacing w:after="0" w:line="76" w:lineRule="exact"/>
        <w:rPr>
          <w:rFonts w:ascii="Times New Roman" w:cs="Times New Roman" w:eastAsia="Times New Roman" w:hAnsi="Times New Roman"/>
          <w:sz w:val="18"/>
          <w:szCs w:val="18"/>
          <w:color w:val="auto"/>
        </w:rPr>
      </w:pPr>
    </w:p>
    <w:p>
      <w:pPr>
        <w:ind w:left="1080" w:hanging="532"/>
        <w:spacing w:after="0" w:line="259"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to enable physiologic regulation of A1AT using endogenous ADAR: </w:t>
      </w:r>
      <w:r>
        <w:rPr>
          <w:rFonts w:ascii="Times New Roman" w:cs="Times New Roman" w:eastAsia="Times New Roman" w:hAnsi="Times New Roman"/>
          <w:sz w:val="18"/>
          <w:szCs w:val="18"/>
          <w:color w:val="auto"/>
        </w:rPr>
        <w:t>Augmentation therapy and other treatments targeting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static thresholds for A1AT expression do not address the underlying mechanism of A1AT regulation, which is endogenously regulated by inflammation and can sometimes lead to as much as 90uM of A1AT in humans. During an inflammatory response, there is a simultaneous increase in ADAR levels. Our ADAR-based therapy has the potential to restore natural physiologic regulation by increasing the prevalence of editing during periods of greater A1AT production.</w:t>
      </w:r>
    </w:p>
    <w:p>
      <w:pPr>
        <w:spacing w:after="0" w:line="84" w:lineRule="exact"/>
        <w:rPr>
          <w:rFonts w:ascii="Times New Roman" w:cs="Times New Roman" w:eastAsia="Times New Roman" w:hAnsi="Times New Roman"/>
          <w:sz w:val="18"/>
          <w:szCs w:val="18"/>
          <w:color w:val="auto"/>
        </w:rPr>
      </w:pPr>
    </w:p>
    <w:p>
      <w:pPr>
        <w:ind w:left="1080" w:right="100" w:hanging="532"/>
        <w:spacing w:after="0" w:line="291" w:lineRule="auto"/>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Uniform distribution of drug to liver cells to maximize editing: </w:t>
      </w:r>
      <w:r>
        <w:rPr>
          <w:rFonts w:ascii="Times New Roman" w:cs="Times New Roman" w:eastAsia="Times New Roman" w:hAnsi="Times New Roman"/>
          <w:sz w:val="17"/>
          <w:szCs w:val="17"/>
          <w:color w:val="auto"/>
        </w:rPr>
        <w:t>Unlike other modalities that focus on DNA editing, our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candidates have demonstrated a uniform distribution within the liver, including in NHPs. We believe this will allow our therapy to restore production of normal A1AT protein in every cell, reducing reliance on the chance of a survival benefit for edited cells as in DNA editing.</w:t>
      </w:r>
    </w:p>
    <w:p>
      <w:pPr>
        <w:spacing w:after="0" w:line="58" w:lineRule="exact"/>
        <w:rPr>
          <w:rFonts w:ascii="Times New Roman" w:cs="Times New Roman" w:eastAsia="Times New Roman" w:hAnsi="Times New Roman"/>
          <w:sz w:val="17"/>
          <w:szCs w:val="17"/>
          <w:color w:val="auto"/>
        </w:rPr>
      </w:pPr>
    </w:p>
    <w:p>
      <w:pPr>
        <w:ind w:left="1080" w:right="40" w:hanging="532"/>
        <w:spacing w:after="0" w:line="257"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Efficient delivery using a proven LNP: </w:t>
      </w:r>
      <w:r>
        <w:rPr>
          <w:rFonts w:ascii="Times New Roman" w:cs="Times New Roman" w:eastAsia="Times New Roman" w:hAnsi="Times New Roman"/>
          <w:sz w:val="18"/>
          <w:szCs w:val="18"/>
          <w:color w:val="auto"/>
        </w:rPr>
        <w:t>A1AT is the fifth most abundant protein in circulation, with a large number of transcripts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editing to achieve expression of normal protein. LNPs provide a significant benefit to delivery of RNA-editing oligonucleotides by increasing the likelihood of sufficient distribution into liver cells. In March 2023, we entered into an agreement with Genevant, a well established leader in the LNP space, to provide access to clinically validated LNP technology to optimize delivery of our AATD product candidate. Preclinical studies of this LNP delivery technology have shown improved dose-dependent efficacy with reduced clinical chemistry and adverse events.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Summary of our preclinical studies and data generated to date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have generated highly compelling preclinical data that forms the basis for our proof of mechanism. We have affirmed that multiple disease modifying product candidates have demonstrated proof-of-concept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and have the potential to be a development candidate.</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These potential development candidates have independently achieved clinically meaningful expression of normal A1AT protein consistent with a PiMZ genotype within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models while using clinically relevant doses administered on a weekly basis. Given that human protein half-life is much longer than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82"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other species, we believe our therapies will support a longer dose interval in the clinic. We have initiated preclinical dose-limiting toxicity safety studies and intends to nominate a development candidate in the fourth quarter of 2023.</w:t>
      </w:r>
    </w:p>
    <w:p>
      <w:pPr>
        <w:spacing w:after="0" w:line="160" w:lineRule="exact"/>
        <w:rPr>
          <w:sz w:val="20"/>
          <w:szCs w:val="20"/>
          <w:color w:val="auto"/>
        </w:rPr>
      </w:pPr>
    </w:p>
    <w:p>
      <w:pPr>
        <w:ind w:left="120" w:right="320" w:firstLine="4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 Vitro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activity in human 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initial design iterations for RNA-editing oligonucleotides were conducted in</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human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specifically containing human ADAR and human SERPINA1 genes with a Z allele. By leveraging the capabilities of our OPERA platform, we have generated multiple product candidates that achieved increased editing activity in human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systems.</w:t>
      </w:r>
    </w:p>
    <w:p>
      <w:pPr>
        <w:spacing w:after="0" w:line="17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Figure 13 below, we were able to demonstrate greater than 50% editing efficiency at the E342K mutation within stem cell derived hepatocyte like cells, or HLCs, when using the highest dose of drug substance. HLCs harbor both alleles, an important quality that has the potential to be predictive of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also demonstrated editing in MZ primary human hepatocytes, or PHH, which harbor a single Z allele.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140335</wp:posOffset>
            </wp:positionV>
            <wp:extent cx="5340350" cy="1954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4035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13. &gt;50% editing achieved in the right system – human gene with human ADAR</w:t>
      </w:r>
    </w:p>
    <w:p>
      <w:pPr>
        <w:spacing w:after="0" w:line="225"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Preclinical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 vivo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activity in mice:</w:t>
      </w:r>
      <w:r>
        <w:rPr>
          <w:rFonts w:ascii="Times New Roman" w:cs="Times New Roman" w:eastAsia="Times New Roman" w:hAnsi="Times New Roman"/>
          <w:sz w:val="18"/>
          <w:szCs w:val="18"/>
          <w:color w:val="auto"/>
        </w:rPr>
        <w:t xml:space="preserve"> Our preclinical pharmacology studies have been conducted using the PiZ mouse model and licensed by us from Dr. Jeff Teckmann’s laboratory at St. Louis University. Dr. Teckmann is the preeminent expert on the study of AATD. The PiZ transgenic mouse model replicates many of the phenotypes of human AATD disease, including the presence and utilization of ADAR-based editing. Mice have only 1 allele, either a healthy M allele or mutated Z allele, or PiZ.</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part of our preclinical studies, we have evaluated multiple oligonucleotides in varying doses in PiZ mice. Following intravenous administration of a single 3mg/kg dose using a standard MC3 LNP encapsulating our product candidate, we subsequently evaluated the editing efficiency achieved and levels of A1AT protein after one, four and seven days. Multiple of our optimized lead oligonucleotides demonstrated editing efficiency of greater than 50% editing of the SERPINA1 mRNA at the E342K site, which we believe is a key threshold to achieve clinically meaningful levels of normal A1AT secretion.</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Figure 14 below outlines the editing efficiency of one of our lead product candidates, KB-0794, which was measured as demonstrating editing efficiency as high as 63% on day four following the administration of a single 3mg/kg dose. Normal M-A1AT protein was observed at an 18 µM concentration on day four, demonstrating the potential relationship between editing efficiency and secretion of normal A1AT. We believe this is the highest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efficiency and normal A1AT protein observed across any modality based on data published to date.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82"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208280</wp:posOffset>
            </wp:positionV>
            <wp:extent cx="5229225" cy="1929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2922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14. Demonstrated 50% editing of E342k site in PiZ mice model with a single 3mg/kg dose delivered with MC3 LNP</w:t>
      </w:r>
    </w:p>
    <w:p>
      <w:pPr>
        <w:spacing w:after="0" w:line="225"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Durability: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observing the high editing efficiency of KB-0794, we proceeded to conduct an additional preclinical</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study where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groups of mice were given a lower dose and observed in a multi-dose study that lasted up to four weeks.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four groups received an initial dose of 2mg/kg of KB-0794, which was administered intravenously using an MC3 LNP as in the single dose study above. Thereafter, each group received weekly doses of KB-0794 for a period of either one, two, three or four weeks. The mice were assessed seven days after the initial dose and seven days after each subsequent dose to observe editing efficiency, normal A1AT protein levels and total A1AT protein levels.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detailed in Figure 15 below, key takeaways included the following:</w:t>
      </w:r>
    </w:p>
    <w:p>
      <w:pPr>
        <w:spacing w:after="0" w:line="131" w:lineRule="exact"/>
        <w:rPr>
          <w:sz w:val="20"/>
          <w:szCs w:val="20"/>
          <w:color w:val="auto"/>
        </w:rPr>
      </w:pPr>
    </w:p>
    <w:p>
      <w:pPr>
        <w:ind w:left="540" w:right="16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Groups 3 and 4, which received three and four doses of KB-0794, achieved 54% and 47% editing efficiency as measured 7 days after their most recent dose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Groups 3 and 4 also demonstrated a meaningful increase in both total and normal A1AT, with up to 20 µM of normal A1AT in Group 4</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4 shows that 72% of total protein comprises of normal A1AT in circulation</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Liver polymers associated with the dysfunctional A1AT protein in Group 4 were reduced at day 28 as shown by the histopathology images below, pointing to a potential to provide liver benefit through clearing of aggregates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82"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208280</wp:posOffset>
            </wp:positionV>
            <wp:extent cx="4732020" cy="5777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32020" cy="577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15. Potential to provide liver benefit by clearing aggregation and preventing further lung damage due to level of M-A1AT in secretion</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half-life of A1AT in mice and NHPs has been observed to be around 1-2 days and 2-4 days, respectively. Human A1AT has a longer half-life of 4-6 days, and when coupled with the optimization of our oligonucleotide drug product and the accumulation of drug product observed in the multi-dose preclinical studies, we believe that we will be able to achieve greater durability and a longer dosing interval in the clinic than the current once weekly interval in our preclinical studies.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320" w:top="482" w:right="5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Translation in NHPs:</w:t>
      </w:r>
      <w:r>
        <w:rPr>
          <w:rFonts w:ascii="Times New Roman" w:cs="Times New Roman" w:eastAsia="Times New Roman" w:hAnsi="Times New Roman"/>
          <w:sz w:val="18"/>
          <w:szCs w:val="18"/>
          <w:color w:val="auto"/>
        </w:rPr>
        <w:t xml:space="preserve"> In addition to our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conducted using the PiZ mouse model, we have also generated a translational model to validate the potential for delivery and ability to edit the SERPINA1 gene in NHPs with an earlier generation oligonucleotide. Because the human SERPINA1 gene in NHPs does not harbor the E342K mutation, we are demonstrating our oligonucleotide’s ability to edit within the coding region of the SERPINA1 gene and the ability to translate that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from the PiZ mouse model to NHPs.</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shown in Figure 16 below, NHPs received a 2mg/kg intravenous dose of our earlier generation oligonucleotide formulated in an MC3 LNP, followed by two additional intravenous doses once per week. The liver editing was measured four days after the initial dose, and four days after the final dose. Editing of the SERPINA1 coding region in both NHPs and PiZ mice showed species translation at both time periods, with increasing editing efficiency upon receiving additional doses in NHPs. Additionally, mutated protein generated by this engineered RNA edit on the human SERPINA1 gene in NHPs was observed to be closely correlated with editing the mRNA at the same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145415</wp:posOffset>
            </wp:positionV>
            <wp:extent cx="5100320" cy="2194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0032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16. Editing of SERPINA1 coding region in NHPs and PiZ model showed correlation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Optimization of our product candidate</w:t>
      </w:r>
    </w:p>
    <w:p>
      <w:pPr>
        <w:spacing w:after="0" w:line="119" w:lineRule="exact"/>
        <w:rPr>
          <w:sz w:val="20"/>
          <w:szCs w:val="20"/>
          <w:color w:val="auto"/>
        </w:rPr>
      </w:pPr>
    </w:p>
    <w:p>
      <w:pPr>
        <w:ind w:left="120" w:right="40" w:firstLine="440"/>
        <w:spacing w:after="0" w:line="230" w:lineRule="auto"/>
        <w:rPr>
          <w:sz w:val="20"/>
          <w:szCs w:val="20"/>
          <w:color w:val="auto"/>
        </w:rPr>
      </w:pPr>
      <w:r>
        <w:rPr>
          <w:rFonts w:ascii="Times New Roman" w:cs="Times New Roman" w:eastAsia="Times New Roman" w:hAnsi="Times New Roman"/>
          <w:sz w:val="18"/>
          <w:szCs w:val="18"/>
          <w:color w:val="auto"/>
        </w:rPr>
        <w:t>Our preclinical studies to identify product candidates have previously been conducted using an LNP delivery vehicle comprising lipids used in the approved product ONPATTRO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Over the past decade, the field of LNP delivery has made advancements as measured by safety profile and tolerability. Our product candidates, when combined with current generation LNP delivery technology from Genevant, have demonstrated optimized editing efficiency, safety and tolerability.</w:t>
      </w:r>
    </w:p>
    <w:p>
      <w:pPr>
        <w:spacing w:after="0" w:line="1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 preclinical study to compare the editing efficiency of a previous generation LNP (the comparator LNP) and current generation Genevant LNPs (GVT-1 and GVT-2), We evaluated PiZ mice after receiving a single 2mg/kg dose of KB-0794 via each of the three delivery vehicles. As detailed below in Figure 17, GVT-1 and GVT-2 achieved comparable or higher editing of 37% and 65%, respectively, as compared to 29% editing for the comparator LNP. For reference, the same KB-0794 achieved comparable editing of 63-65% at a dose of 3mg/kg with the comparator LNP compared to a lower dose of 2mg/kg with GVT-2. The percentage of normal A1AT protein in plasma at baseline is 0% due to all of the circulating protein being mutated A1AT. Post a single LNP dose, the percentage of normal-A1AT increased to 66% for GVT-1 and 85% for GVT-2, compared to 56% for the comparator LNP, showing potential for disease-modifying effects.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82"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208280</wp:posOffset>
            </wp:positionV>
            <wp:extent cx="5229225" cy="2100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2922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Figure 17. Comparison of editing efficiency and circulating normal protein in PiZ mice between MC3 LNP and current generation Genevant LNPs (GVT-1 and GVT-2)</w:t>
      </w:r>
    </w:p>
    <w:p>
      <w:pPr>
        <w:spacing w:after="0" w:line="16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evaluated the potential editing efficiency of GVT-1 and GVT-2 for the SERPINA1 coding region in NHPs. As detailed in Figure 18, the observed editing rate of GVT-2 was meaningfully higher at 34%, relative to 13% in the historical MC3 study. ALT levels, a measure of safety and tolerability, were meaningfully lower in GVT-1 and on par between GVT-2 and the LNP comparator. These results show that our product candidates, when combined with current generation Genevant LNPs, can demonstrate a desirable safety profile while increasing the editing efficiency. As shown in Figure 18 below, these results further illustrate the translation of GVT-1 and GVT-2 across mouse and NHP preclinical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145415</wp:posOffset>
            </wp:positionV>
            <wp:extent cx="5083175" cy="2442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8317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18. Comparison of editing translation in NHPs between MC3 LNP and current generation Genevant LNPs (GVT-1 and GVT-2)</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Based on the totality of the preclinical data generated to date, we intend to nominate a development candidate in the fourth quarter of 2023. The development candidate will then be tested in studies to enable a regulatory filing in the second half of 2024 to enable the initiation of human clinical studies.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40"/>
          </w:cols>
          <w:pgMar w:left="320" w:top="482" w:right="5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Parkinson’s Disease Program: Repairing Pathogenic Variants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proprietary oligonucleotides that address the leucine-rich repeat kinase 2, or LRRK2. mutation for Parkinson’s Disease, or PD, patients. This is the second program that leverages our ability to generate product candidates to repair pathogenic variants, similar to the AATD program.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Parkinson’s Disease: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PD is a complex, multifactorial progressive disease that is caused, in part, by the loss of dopaminergic neurons in a structure of the brain called the substantia nigra, which is essential for the proper control of the body’s movement. Approximately 10% of PD cases are attributed to inherited genetic mutations, while the remaining cases are considered idiopathic or sporadic. Mutations in </w:t>
      </w:r>
      <w:r>
        <w:rPr>
          <w:rFonts w:ascii="Times New Roman" w:cs="Times New Roman" w:eastAsia="Times New Roman" w:hAnsi="Times New Roman"/>
          <w:sz w:val="18"/>
          <w:szCs w:val="18"/>
          <w:i w:val="1"/>
          <w:iCs w:val="1"/>
          <w:color w:val="auto"/>
        </w:rPr>
        <w:t>LRRK2</w:t>
      </w:r>
      <w:r>
        <w:rPr>
          <w:rFonts w:ascii="Times New Roman" w:cs="Times New Roman" w:eastAsia="Times New Roman" w:hAnsi="Times New Roman"/>
          <w:sz w:val="18"/>
          <w:szCs w:val="18"/>
          <w:color w:val="auto"/>
        </w:rPr>
        <w:t xml:space="preserve"> are the most common genetic cause of PD and increasing evidence also provides support for a role of LRRK2 in idiopathic PD. PD is the second most common neurodegenerative disease with approximately 1.0 million people in the United States diagnosed. Despite the large commercial market opportunity, there remains significant unmet need as there is no cure, and current available therapies only relieve the symptoms of PD.</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LRRK2 is linked to several cellular processes including mitochondrial function, endocytosis, vesicle trafficking, and the lysosomal autophagy pathway. Additionally, LRRK2 is implicated in regulating cytokine levels and neuroinflammation. There are various mutations in LRRK2 that can result in PD, the most common of which is the pathogenic G2019S mutation that accounts for 1-6% of sporadic and 3-19% of familial PD cases.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approach is to make a single base edit to repair the protein caused by the G2019S mutation in LRRK2, which is expected to result in returning activity to the normal physiological state. We believe this change may result in disease modification.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shown in Figure 19 below, our preliminary screening process in heterozygous LRRK2 G2019S patient-derived fibroblasts identified several product candidates that achieved &gt;80% editing in </w:t>
      </w:r>
      <w:r>
        <w:rPr>
          <w:rFonts w:ascii="Times New Roman" w:cs="Times New Roman" w:eastAsia="Times New Roman" w:hAnsi="Times New Roman"/>
          <w:sz w:val="18"/>
          <w:szCs w:val="18"/>
          <w:i w:val="1"/>
          <w:iCs w:val="1"/>
          <w:color w:val="auto"/>
        </w:rPr>
        <w:t>LRRK2</w:t>
      </w:r>
      <w:r>
        <w:rPr>
          <w:rFonts w:ascii="Times New Roman" w:cs="Times New Roman" w:eastAsia="Times New Roman" w:hAnsi="Times New Roman"/>
          <w:sz w:val="18"/>
          <w:szCs w:val="18"/>
          <w:color w:val="auto"/>
        </w:rPr>
        <w:t xml:space="preserve"> compared to only 47% in controls. The 47% represents half the transcripts having the mutation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140335</wp:posOffset>
            </wp:positionV>
            <wp:extent cx="2451735" cy="1859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5173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19. Editing of the G2019S mutation LRRK2 using our product candidates (100 nM)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7"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are currently screening additional oligonucleotide designs and optimizing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to correlate LRRK2 editing with downstream functional endpoints. Additionally, we plan to evaluate our product candidates in a LRRK2 G2019S humanized mouse model.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82"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Severe Alcohol-Associated Hepatitis Program: Disrupting Protein-Protein Interactions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Another of our programs is focused on the treatment of severe alcohol-associated hepatitis, or sAH, and demonstrates the versatility of our platform to modulate proteins. This program leverages our RNA editing technology to modulate the activity of a naturally occurring protein by disrupting protein-protein interactions. We are selectively modulating a protein transcription factor implicated in the disease pathophysiology for sAH. We believe that this approach enables the synthesis of a protein variant that disrupts interaction with our inhibitor and as a result, will be free to express downstream target genes. sAH patients with higher levels of expression of these downstream target genes have been shown to have better prognosis in a prior study examining liver biopsies at the time of diagnosis.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Severe Alcohol-Associated Hepatitis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burden of alcohol use and alcohol use disorders contributes significantly to the health care costs for alcohol-related diseases. These patients incur direct costs to the health care system for medical care, and indirect costs to society due to a loss of workforce productivity, absenteeism, injury, early retirement and mortality. Alcohol overconsumption can lead to the development of liver damage that can manifest as fatty liver disease, alcohol-associated hepatitis and cirrhosis. The amount of alcohol intake that puts an individual at risk for alcohol-associated hepatitis is not known, but most patients have a history of heavy alcohol use for two or more decades. It is estimated that two million people die of liver disease each year, and up to half of these cases are due in part to alcohol overconsumption. There are around 300,000 hospitalizations per year for sAH in the United States. sAH is an acute condition with a mortality rate of 25%—45% within 90 days of hospitalization.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are no FDA-approved treatments for sAH. Prednisolone is used off-label in this setting and is the only treatment available. However, many patients fail to respond to prednisolone or are contraindicated, and studies have failed to show survival benefit at 90 days. Physicians may also prescribe pentoxifylline, an anti-inflammatory, or N-acetyl cysteine, an antioxidant, but the benefit of these drugs for sAH is not well established. Additionally, some sAH patients may be candidates for a liver transplant. It has been documented that survival for sAH patients is mainly driven by liver injury and not significantly impacted by alcohol-relapse. Current strategies to address harmful alcohol use and the development of pharmacotherapies remain largely ineffective, leading to substantial unmet need for advancement of policy efforts and development of novel therapies with effective mechanisms of action.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a product candidate that increases expression of a transcription factor (TFX) implicated in sAH. By selectively modifying a single amino acid, we are able to disrupt interactions between the target protein and our inhibitor, as depicted in Figure 20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131445</wp:posOffset>
            </wp:positionV>
            <wp:extent cx="2537460" cy="1551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3746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20. Changing a single amino acid disrupts binding of a transcription factor to its inhibitor</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82"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have generated preclinical data for our sAH product candidates, demonstrating target editing and activation of target transcription factor activity in both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our oligonucleotides dose-dependently edited the target gene mRNA in human liver cells with &gt; 70% editing efficiency as shown in Figure 21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140335</wp:posOffset>
            </wp:positionV>
            <wp:extent cx="2528570" cy="2083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28570" cy="2083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21. Our product candidate edits transcription factor RNA at the validated target site in a dose-responsive manner</w:t>
      </w:r>
    </w:p>
    <w:p>
      <w:pPr>
        <w:spacing w:after="0" w:line="22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our product candidates edited the target mRNA and induced expression of downstream target genes by up to 7x in mouse liver tissue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shown in Figure 22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130175</wp:posOffset>
            </wp:positionV>
            <wp:extent cx="2408555" cy="1654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0855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22. Hyperactive variant of transcription factor increased expression of downstream gene up to 7x in vivo</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product candidate has also demonstrated activity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of sAH, showing protection against cytotoxicity induced by alcohol and TNF-alpha in human liver cells overexpressing CYP2E1, the enzyme that metabolizes alcohol as shown in Figure 23 below.</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60"/>
          </w:cols>
          <w:pgMar w:left="320" w:top="482" w:right="5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208280</wp:posOffset>
            </wp:positionV>
            <wp:extent cx="2468880" cy="2057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688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23. RNA editing demonstrates increased viability of liver cells in an in vitro model of sAH</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22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are currently evaluating additional oligonucleotide designs and conducting preclinical studies to confirm that our product candidates will ameliorate disease phenotype in models of alcohol-induced hepatitis. We also plan to evaluate our approach in NHP studies.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Amyotrophic Lateral Sclerosis Program: Disrupting Protein Aggregation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proprietary oligonucleotides targeting the mRNA for TAR DNA binding protein 43, or TDP-43, a protein associated with the etiology of amyotrophic lateral sclerosis, or ALS.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Amyotrophic Lateral Sclerosis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ALS is an adult-onset, progressive, and fatal neurodegenerative disorder that causes muscle weakness, paralysis, and ultimately death. The majority of ALS patients die from respiratory failure within three to five years after symptom appearance, with a small percentage of patients surviving beyond 10 years. Despite being classified as a rare disease by the FDA and the EMA, ALS is considered one of the more common neurodegenerative diseases worldwide. Prevalence estimates vary, but it is widely accepted that there are at least an estimated 25,000 ALS patients in the United States. There is currently no cure for ALS, and currently approved therapies either only provide symptomatic relief or slow the overall progression of the disease.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Our approach is to selectively modulate TDP-43, an RNA/DNA-binding protein, which carries out a variety of important functions in healthy neurons, including initiation of transcription, pre-mRNA splicing and miRNA processing. Hyper-phosphorylated and ubiquitinated TDP-43 deposits form inclusion bodies in the brain and spinal cord of patients with ALS and frontotemporal dementia, or FTD. The majority of ALS and FTD cases are sporadic, and more than 90% and 45% of ALS and FTD patients, respectively, have TDP-43 aggregations in neurons. Less than 10% of ALS cases are familial, and mutations in </w:t>
      </w:r>
      <w:r>
        <w:rPr>
          <w:rFonts w:ascii="Times New Roman" w:cs="Times New Roman" w:eastAsia="Times New Roman" w:hAnsi="Times New Roman"/>
          <w:sz w:val="18"/>
          <w:szCs w:val="18"/>
          <w:i w:val="1"/>
          <w:iCs w:val="1"/>
          <w:color w:val="auto"/>
        </w:rPr>
        <w:t>TARDBP</w:t>
      </w:r>
      <w:r>
        <w:rPr>
          <w:rFonts w:ascii="Times New Roman" w:cs="Times New Roman" w:eastAsia="Times New Roman" w:hAnsi="Times New Roman"/>
          <w:sz w:val="18"/>
          <w:szCs w:val="18"/>
          <w:color w:val="auto"/>
        </w:rPr>
        <w:t xml:space="preserve">, the gene encoding TDP-43, are responsible for approximately 4% of familial ALS. Given the importance of TDP-43’s role in maintaining healthy neurons, the generation of a protein variant with the desired non-aggregating property could potentially have therapeutic benefit for the majority of ALS and FTD patients. We believe that by leveraging the ability of RNA editing to affect a single base edit in </w:t>
      </w:r>
      <w:r>
        <w:rPr>
          <w:rFonts w:ascii="Times New Roman" w:cs="Times New Roman" w:eastAsia="Times New Roman" w:hAnsi="Times New Roman"/>
          <w:sz w:val="18"/>
          <w:szCs w:val="18"/>
          <w:i w:val="1"/>
          <w:iCs w:val="1"/>
          <w:color w:val="auto"/>
        </w:rPr>
        <w:t>TARDBP</w:t>
      </w:r>
      <w:r>
        <w:rPr>
          <w:rFonts w:ascii="Times New Roman" w:cs="Times New Roman" w:eastAsia="Times New Roman" w:hAnsi="Times New Roman"/>
          <w:sz w:val="18"/>
          <w:szCs w:val="18"/>
          <w:color w:val="auto"/>
        </w:rPr>
        <w:t>, we can lead to the synthesis of a TDP-43 protein variant that does not aggregate, thereby restoring our normal function.</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320" w:top="482" w:right="5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created a series of TDP-43 variants that contain single amino acid changes designed to alter post-translational modification by phosphorylation, ubiquitination, acetylation or cleavage with the intent of reducing the ability to aggregate while maintaining function in RNA metabolism. We believe that modulating TDP-43 through the introduction of specific amino acid changes into TDP-43 mRNA sequence is preferable to other approaches that try to address protein aggregates after they form, to non-specifically prevent stress granule formation, or to target a single TDP-43 downstream target. We have engineered mutations amenable to an RNA edit using our OPERA platform that limit the formation of TDP-43 inclusion bodies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Additionally, we have demonstrated meaningful editing of TDP-43 targets sites with our product candidates in a human neuroblastoma-derived cell line (SK-N-AS) as demonstrated in Figure 24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148590</wp:posOffset>
            </wp:positionV>
            <wp:extent cx="2468880" cy="18516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6888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24. Editing of TDP-43 mRNA using our product candidates (100 nM)</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initially pursue ALS with this approach and has the opportunity to expand our pipeline to other neurodegenerative diseases, such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FTD.</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continuing to design and screen additional oligonucleotides in SK-N-AS cells to identify proprietary oligonucleotides for further evaluation in aggregation assays. Furthermore, we are identifying and characterizing ALS cell lines including genetic-induced models and patient cell lines, to test the efficacy of TDP-43 protein variants in disease models.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Pain Program: Selective Modulation of Ion Channels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developing proprietary oligonucleotides that selectively modulate ion channels associated with pain.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Pain Indications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Pain is a condition that millions of patients experience and is often a component of rare and highly prevalent diseases. Pain can be generally classified as either acute or chronic and can be further segmented into subcategories including nociceptive or neuropathic pain. There are several classes of therapeutics to target the numerous pathways that cause pain, including opioids, nerve growth factors and ion channel blockers. Many of these treatment methods involve non-specific targeting of pathways that lead to off-target effects. Despite a large commercial market opportunity, there remains significant unmet needs for safe and effective pain management, including non-opioid therapeutics.</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Several classes of drugs, including local anesthetics, such as lidocaine, are ion channel blockers, although they do not show a high degree of specificity and thus inhibit many types of sodium channels rather than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82"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selectively blocking NaV1.7. No highly selective small molecule product candidates have been FDA-approved as therapeutics. One of the challenges in developing a small molecule inhibitor of NaV1.7 is the high degree of homology with other voltage gated sodium channels, inhibition of which has been linked to safety concerns.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introduction of genetic changes into the mRNA encoding NaV1.7 demonstrates the potential of RNA editing to create highly differentiated and selective therapeutics for ion channels. NaV1.7 is a voltage-gated sodium channel that plays a critical role in the generation and conduction of action potentials and is thus important for electrical signaling in the nervous system. NaV1.7 is highly expressed in the pain sensing dorsal root ganglion neuron. Genetic inactivation of </w:t>
      </w:r>
      <w:r>
        <w:rPr>
          <w:rFonts w:ascii="Times New Roman" w:cs="Times New Roman" w:eastAsia="Times New Roman" w:hAnsi="Times New Roman"/>
          <w:sz w:val="18"/>
          <w:szCs w:val="18"/>
          <w:i w:val="1"/>
          <w:iCs w:val="1"/>
          <w:color w:val="auto"/>
        </w:rPr>
        <w:t>SCN9A</w:t>
      </w:r>
      <w:r>
        <w:rPr>
          <w:rFonts w:ascii="Times New Roman" w:cs="Times New Roman" w:eastAsia="Times New Roman" w:hAnsi="Times New Roman"/>
          <w:sz w:val="18"/>
          <w:szCs w:val="18"/>
          <w:color w:val="auto"/>
        </w:rPr>
        <w:t>, the gene encoding NaV1.7, in mice results in the inability to sense pain from inflammatory stimuli. In humans, mutations that lead to inactivation of NaV1.7 function result in a genetic condition known as Channelopathy-associated insensitivity to pain, or CIP. Individuals with CIP have severely diminished ability to sense pain. By contrast, mutations that activate NaV1.7 result in intense pain.</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Through our RNA editing technology, we have generated a series of site-specific changes in NaV1.7 that modulate our ion channel function such that it mimics a small molecule sodium channel blocker. We believe that using RNA editing to introduce these changes in patients has the potential to deliver potent analgesic activity without the dose-limiting toxicities that have been observed by other sodium channel blockers.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demonstrated that rationally designed single amino acid changes to unique target sites are sufficient to decrease the activity of NaV1.7. Electrophysiology studies performed in CHO cells transfected with plasmids expressing channel variants demonstrated biophysical properties that are associated with a decrease in NaV1.7 channel activity compared to fully functional NaV1.7. Additionally, we have demonstrated meaningful editing for these target sites in SK-N-AS cells as shown in Figure 25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142875</wp:posOffset>
            </wp:positionV>
            <wp:extent cx="2468880" cy="18434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6888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25. Editing of NaV1.7 using our product candidates (100nM)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optimizing and screening our proprietary oligonucleotides in electrophysiology assays. Furthermore, we will perform a high throughput screen of Nav1.7 variants to identify potential novel ion channel variants with enhanced crippling of electrophysiology activity.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Cardiometabolic Disease Program: Activating Kinases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proprietary oligonucleotides that activate a kinase involved in cardiometabolic disease. Cardiometabolic disease encompasses a broad range of complex, multifactorial diseases including cardiovascular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82"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disease, diabetes, chronic renal failure and obesity, among others. A number of validated cardiometabolic disease targets such as kinases have been identified but have historically been difficult to drug.</w:t>
      </w:r>
    </w:p>
    <w:p>
      <w:pPr>
        <w:spacing w:after="0" w:line="160" w:lineRule="exact"/>
        <w:rPr>
          <w:sz w:val="20"/>
          <w:szCs w:val="20"/>
          <w:color w:val="auto"/>
        </w:rPr>
      </w:pPr>
    </w:p>
    <w:p>
      <w:pPr>
        <w:jc w:val="both"/>
        <w:ind w:left="120" w:right="20" w:firstLine="440"/>
        <w:spacing w:after="0" w:line="290" w:lineRule="auto"/>
        <w:rPr>
          <w:sz w:val="20"/>
          <w:szCs w:val="20"/>
          <w:color w:val="auto"/>
        </w:rPr>
      </w:pPr>
      <w:r>
        <w:rPr>
          <w:rFonts w:ascii="Times New Roman" w:cs="Times New Roman" w:eastAsia="Times New Roman" w:hAnsi="Times New Roman"/>
          <w:sz w:val="17"/>
          <w:szCs w:val="17"/>
          <w:color w:val="auto"/>
        </w:rPr>
        <w:t xml:space="preserve">We have generated a site-specific change in a validated kinase that is a central regulator of energy homeostasis. In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mutagenesis study, a site-specific change led to activation of the kinase and an increase in the phosphorylation of its downstream target. We believe that using RNA editing to introduce these changes with an oligonucleotide in patients has the potential to deliver efficacy that has been unattainable when using other modalities.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Pioneering RNA Editing to Deliver the Future of Medicine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of our programs demonstrate the versatility of the ADAR-mediated RNA editing approach. Importantly, we are able to not only address classes of diseases caused by deleterious effects of misfolded or misdirected proteins, but we can also potentially utilize genetics to identify highly prevalent diseases where therapeutic benefit can be generated through alteration of protein function or expression. We will continue to selectively identify and pursue additional targets and indications based on a range of technical, clinical, and commercial factors to build a robust and differentiated pipeline. However, RNA editing is a novel technology that is not yet clinically validated for human therapeutic use. The approaches we take to discover and develop novel therapeutics are unproven and may never lead to marketable products. We are not aware of any clinical trials for safety or efficacy having been completed by any third party using RNA editing and nor are we aware of any RNA editing therapeutic product that has been approved in the United States or Europe. It will be many years before we commercialize a product candidate, if ever.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 Arrangements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no commercial manufacturing capabilities. For our initial wave of clinical programs, we intend to use qualified third-party CMOs with relevant manufacturing experience in genetic medicines. we plan to partner with suppliers and CMOs to produce or process critical raw materials, bulk compounds, formulated compounds, viral vectors or engineered cells for IND-supporting activities and early-stage clinical trials. At the appropriate time in the product development process, we will determine whether to establish in-house GMP manufacturing capabilities for some core technologies or continue to rely on third parties to manufacture commercial quantities for any products that we may successfully develop.</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also in license technology for our fit-for-purpose delivery systems, including LNP delivery systems. For example, in March 2023, we entered into a collaboration and license agreement with Genevant, a well established leader in the LNP space, to provide access to clinically validated LNP technology to optimize delivery of our AATD product candidate. Preclinical studies of this LNP delivery technology have shown improved dose-dependent efficacy with reduced clinical chemistry and adverse events. For additional information relating to the financial terms of such agreement, see Note 10 to Legacy Korro’s unaudited interim financial statements included in this Registration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pharmaceutical and biotechnology industries, including the gene therapy and gene editing fields,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There are several companies using synthetic oligonucleotide or base editing technology, including Beam Therapeutics, Verve Therapeutics, Prime Medicine, ProQR, and Wave Life Sciences. Several additional companies utilize other editing technologies, including Edigene and Shape Therapeutics. In addition, we face competition from companies utilizing gene therapy, oligonucleotides, and DNA editing technologies such as base and prime editing.</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82"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approved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contract manufacturing organizations,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seek to obtain domestic and international patent protection, and endeavors to promptly file patent applications for new commercially valuable inventions. We also rely on trade secrets to protect aspects of our business that are not amenable to, or that we do not consider appropriate for, patent protection.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platform technologies and improvements thereof, pharmaceutical compositions, methods of treatment, methods of manufacture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patent positions of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82"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USPTO to determine priority of invention. For more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Business—Risks Related to Intellectual Property</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strive to protect our proprietary RNA editing platform OPERA and related technologies and our product candidates, including seeking and maintaining patent protection intended to cover various target-specific editing strategies, the composition of matter of our product candidates, their methods of use, related delivery technologies, and other inventions. The intellectual property that is available to us is critical to our business and we strive to protect it, including by obtaining, maintaining, defending, and enforcing patent protection in the United States and internationally. As of September 18, 2023, Legacy Korro’s patent portfolio, which is now the primary patent portfolio for our business, in total consisted of 32 patent families, with two U.S. patents and one patent in foreign jurisdictions (e.g., Canada), including five pending Patent Cooperation Treaty, or PCT, applications, various pending non-provisional applications world-wide (e.g., United States, Australia, Canada, China, Europe, South Korea, and Japan), and nine families with pending provisional patent applications.</w:t>
      </w:r>
    </w:p>
    <w:p>
      <w:pPr>
        <w:spacing w:after="0" w:line="19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7"/>
          <w:szCs w:val="17"/>
          <w:color w:val="auto"/>
        </w:rPr>
        <w:t>We have a patent portfolio that relates to our RNA editing platform OPERA, as well as numerous disease programs listed below, and includes 13 patent families. These families are directed to various oligonucleotide formats, nucleotide compositions, oligonucleotide chemistries, modifications, specific linkage chemistries, oligonucleotides having a specific structures, methods of deaminating an adenosine using such oligonucleotides, methods of oligonucleotide delivery, and methods of treating disease by administering such oligonucleotides. The first patent family is pending in Australia, Canada, China, Europe, Japan, South Korea, Taiwan and the United States, and includes a U.S. patent. The first three patent families are pending in Australia, Canada, China, Europe, Hong Kong, Japan, South Korea, Taiwan and the United States, and include two U.S. patents. U.S. Patent</w:t>
      </w:r>
    </w:p>
    <w:p>
      <w:pPr>
        <w:spacing w:after="0" w:line="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No. 11,479,575 is directed to specific oligonucleotide structures and expires in 2040; U.S. Patent No. 11,453,878 is directed to methods of deamination of an adenosine in an mRNA using oligonucleotide with specific structures and also expires in 2040. Any other patents issuing from applications in these families will expire in 2040, absent any available additional term for patent term extension or patent term adjustment. The fourth patent family is pending in the United States and patents issuing from applications in this family will expire in 2042, absent any available additional term for patent term extension or patent term adjustment. The fifth, sixth, seventh and eighth patent families have been filed as PCT applications, and if issued, patents in these families would expire between 2042 and 2043, absent any available additional term for patent term extension or patent term adjustment. The ninth, tenth, eleventh, twelfth and thirteenth patent families have been filed as provisional patent applications, and if re-filed as PCT or non-provisional applications, and issued, patents in this family would expire in 2044, absent any available additional term for patent term extension or patent term adjustment.</w:t>
      </w:r>
    </w:p>
    <w:p>
      <w:pPr>
        <w:spacing w:after="0" w:line="19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A1AT program includes two patent families. These patent families are directed to specific oligonucleotides that target SERPINA1 for editing to treat A1AT. The first patent family includes pending applications in Australia, Canada, China, Europe, Japan, South Korea and the United States. Patents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82"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issuing from applications in this family will expire in 2041, absent any available additional term for patent term extension or patent term adjustment. The second patent family has been filed as a provisional patent application, and if re-filed as PCT or non-provisional applications, and issued, patents in this family would expire in 2044, absent any available additional term for patent term extension or patent term adjustment.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PD program includes one patent family. This patent family is directed to specific oligonucleotides that target LRRK2 for editing to treat PD, and includes pending applications in Europe, and the United States. Patents issuing from applications in this family will expire in 2041, absent any available additional term for patent term extension or patent term adjustment.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sAH program includes two patent families. This patent family is directed to specific oligonucleotides that are capable of editing a specific target associated with sAH, and consists of a pending PCT application. Patents issuing from this family of patent applications will expire in 2042, absent any available additional term for patent term extension or patent term adjustment. The second patent family has been filed as a provisional patent application, and is directed to specific oligonucleotides that are capable of editing a specific target associated with sAH. If this application is re-filed as an PCT or non-provisional application, and issued, patents in this family will expire in 2043, absent any available additional term for patent term extension or patent term adjustment.</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ALS includes one patent family, directed to oligonucleotides that edit TDP-43. This patent family consists of two provisional patent applications, and if re-filed as PCT or non-provisional applications, and issued, patents in this family would expire in 2044, absent any available additional term for patent term extension or patent term adjustment.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patent families described above, we also have other patent families directed to additional target-specific editing strategies, oligonucleotide compositions and their methods of use, related delivery technologies, and other inventions related to early-stage research and development efforts not reflected in our pipeline. Patents issued from or issuing from applications in these families will expire between 2041 and 2044, absent any available additional term for patent term extension or patent term adjustment, and includes Canadian Patent No. 3,162,416, which will expire in 2042. We also have legacy patents related to our pre-Merger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United States,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82"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applications, issuance of clinical holds for ongoing studies, suspension or revocation of approved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14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Business—Risks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Intellectual Property</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not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92"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Business—Risks Related to Intellectual Property</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clinical trial, testing, manufacture, quality control, import, export, safety, efficacy, labeling, packaging, storage, distribution, recordkeeping, approval, distribution, advertising, promotion, marketing, post-approval monitoring and post-approval reporting of drugs. We, along with our vendors, CROs, clinical investigators and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82"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U.S. Drugs Development Process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FD&amp;C Act and its implementing regulations. Drugs are also subject to other federal, state and local statutes and regulations.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warning or untitled letters, product withdrawals or recalls, product seizures, relabeling or repackaging, total or partial suspensions of manufacturing or distribution, injunctions, fines, civil penalties or criminal prosecution.</w:t>
      </w:r>
    </w:p>
    <w:p>
      <w:pPr>
        <w:spacing w:after="0" w:line="18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FDA must approve a NDA. The process generally involves the following:</w:t>
      </w:r>
    </w:p>
    <w:p>
      <w:pPr>
        <w:spacing w:after="0" w:line="67" w:lineRule="exact"/>
        <w:rPr>
          <w:sz w:val="20"/>
          <w:szCs w:val="20"/>
          <w:color w:val="auto"/>
        </w:rPr>
      </w:pPr>
    </w:p>
    <w:p>
      <w:pPr>
        <w:ind w:left="1080" w:right="2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 and applicable requirements for the humane use of laboratory animals or other applicable regulations;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30" w:lineRule="exact"/>
        <w:rPr>
          <w:rFonts w:ascii="Times New Roman" w:cs="Times New Roman" w:eastAsia="Times New Roman" w:hAnsi="Times New Roman"/>
          <w:sz w:val="18"/>
          <w:szCs w:val="18"/>
          <w:color w:val="auto"/>
        </w:rPr>
      </w:pPr>
    </w:p>
    <w:p>
      <w:pPr>
        <w:jc w:val="both"/>
        <w:ind w:left="1080" w:right="34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audit of the preclinical study clinical trial sites that generated the data in support of the NDA; and</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drug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82"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trials. The IND also includes the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w:t>
      </w:r>
    </w:p>
    <w:p>
      <w:pPr>
        <w:spacing w:after="0" w:line="65" w:lineRule="exact"/>
        <w:rPr>
          <w:sz w:val="20"/>
          <w:szCs w:val="20"/>
          <w:color w:val="auto"/>
        </w:rPr>
      </w:pPr>
    </w:p>
    <w:p>
      <w:pPr>
        <w:ind w:left="540" w:right="180" w:hanging="424"/>
        <w:spacing w:after="0" w:line="284"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 a limited population of healthy human volunteers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the target disease or condition. These studies are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82"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65" w:lineRule="exact"/>
        <w:rPr>
          <w:sz w:val="20"/>
          <w:szCs w:val="20"/>
          <w:color w:val="auto"/>
        </w:rPr>
      </w:pPr>
    </w:p>
    <w:p>
      <w:pPr>
        <w:ind w:left="540" w:right="380" w:hanging="424"/>
        <w:spacing w:after="0" w:line="267"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78"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8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product, sponsors have the opportunity to meet with the FDA at certain points, including prior to submission of an IND, at the end of Phase 2 and before submission of an NDA. These meetings can provide an opportunity for the sponsor to share information about the data gathered to date and for the FDA to provide advice on the next phase of development.</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 for Drugs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82"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FDA must approve an NDA before a drug may be marketed in the United States.</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FDA also may require submission of a REMS if it believes that a REMS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82"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user-fee waivers.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It is unclear as to how, if at all, the FDA may change the orphan drug regulations and policies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82"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studies to verify and describe the product’s clinical benefit, and under the Food and Drug Omnibus Reform Act of 2022, or FDORA, the FDA may require, as appropriate, that such trials be underway prior to approval or within a specific time period after the date of approval for a product granted accelerated approval. Further,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87"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82"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89" w:lineRule="exact"/>
        <w:rPr>
          <w:sz w:val="20"/>
          <w:szCs w:val="20"/>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Cybersecurity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operations entail the collection, use, disclosure, transfer, and processing of sensitive and personal information. These operations are subject to multiple jurisdictions’ privacy and data security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82"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regulations, including those within the United States, the EEA, and the UK. Our operations extend to commercial partnerships and third-party processors, each of which may be governed by their distinct privacy regulations and data security laws. These laws are constantly evolving and subject to varying interpretations, requiring us to periodically update our policies and measures to maintain compliance.</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GDPR in the EU and the UK, which have been incorporated into their respective laws, impose stringent requirements on the processing of health and other sensitive data. These requirements encompass: (i) providing information to individuals regarding data processing activities;</w:t>
      </w:r>
    </w:p>
    <w:p>
      <w:pPr>
        <w:ind w:left="120" w:right="20" w:hanging="4"/>
        <w:spacing w:after="0" w:line="251" w:lineRule="auto"/>
        <w:tabs>
          <w:tab w:leader="none" w:pos="3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consent from individuals to whom the data processing relates; (iii) responding to data subject requests; (iv) 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third-party processors. The GDPR is also the regulation that informs our obligations with respect to any clinical trials conducted in the EEA or UK. The GDPR’s definition of personal data includes coded data, and it requires changes to informed consent practices and detailed notices for clinical trial subjects and investigators. Failure to comply with the GDPR can result in significant practical, legal, and financial repercussions, including the destruction of improperly gathered or used personal data, substantial fines of up to €20 million (£17.5 million) or 4% of the company’s global annual turnover, mandatory audits, orders to cease or modify data use, and a private right of action enabling data subjects to seek damages. In addition, the GDPR provides that EU member states or the UK may make their own further laws and regulations limiting the processing of personal data, including genetic, biometric, or health data.</w:t>
      </w:r>
    </w:p>
    <w:p>
      <w:pPr>
        <w:spacing w:after="0" w:line="19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the UK has recently introduced a new Data Protection &amp; Digital Information (No. 2) Bill. This development could reshape the UK’s data protection landscape, distancing it from the EU’s data protection regime. This lack of clarity on future UK laws and regulations and their interaction with those of the EU could add legal risk, uncertainty, complexity, and cost; and any resulting divergence in laws could increase our risk profile and necessitate further compliance measures.</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To enable the transfer of personal data outside of the EU or the UK, adequate safeguards must be implemented in compliance with the GDPR. On June 4, 2021, the European Commission issued new forms of standard contractual clauses, or SCCs, for data transfers from controllers or processors in the EU (or otherwise subject to the GDPR) to controllers or processors established outside the EU (and not subject to the GDPR). As of December 27, 2022 the new SCCs replace the SCCs that were adopted previously under the EU Data Protection Directive. The UK is not subject to the European Commission’s new SCCs, and instead it has published the UK International Data Transfer Agreement, or IDTA, and the International Data Transfer Addendum to the new SCCs, or the Addendum, which enable transfers from the UK. For new transfers, the IDTA (or SCCs and Addendum) must be in place, and such measures must be in place for all existing transfers from the UK from March 21, 2024. Companies relying on SCCs or the IDTA to govern transfers of personal data to third countries will also need to assess whether the data importer can ensure sufficient guarantees for safeguarding the personal data under GDPR, including an analysis of the laws in the recipient’s country. When conducting restricted data transfers under the EU and UK GDPR, we will need to implement these new safeguards, and doing so will require significant effort and cost.</w:t>
      </w:r>
    </w:p>
    <w:p>
      <w:pPr>
        <w:spacing w:after="0" w:line="194"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Failure to implement valid mechanisms for personal data transfers from Europe may result in increased exposure to regulatory actions, substantial fines and injunctions against processing personal data from Europe. Inability to export personal data may also: (i) restrict our activities outside Europe;</w:t>
      </w:r>
    </w:p>
    <w:p>
      <w:pPr>
        <w:spacing w:after="0" w:line="1" w:lineRule="exact"/>
        <w:rPr>
          <w:sz w:val="20"/>
          <w:szCs w:val="20"/>
          <w:color w:val="auto"/>
        </w:rPr>
      </w:pPr>
    </w:p>
    <w:p>
      <w:pPr>
        <w:ind w:left="120" w:hanging="4"/>
        <w:spacing w:after="0" w:line="255" w:lineRule="auto"/>
        <w:tabs>
          <w:tab w:leader="none" w:pos="3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to collaborate with partners as well as other service providers, contractors and other companies outside of Europe; and/or (iii)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w:t>
      </w:r>
    </w:p>
    <w:p>
      <w:pPr>
        <w:spacing w:after="0" w:line="18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the United States, privacy and security of personal information are regulated by various federal and state laws, such as health information privacy laws, security breach notification laws, and consumer protection 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82"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Compliance with these multifaceted privacy and data security laws can be time-consuming, and failure to comply with any of these regulations could lead to significant fines and penalties (potentially including criminal prosecution), adversely affecting our reputation, business, financial condition, and operational results. Changes in statutes, regulations, or interpretations of existing regulations could impose additional requirements on our operations, such as modifications to data processing arrangements, changes to privacy policies, recall or discontinuation of certain data processing methods, or additional recordkeeping requirements. These changes could adversely affect the operation of our business.</w:t>
      </w:r>
    </w:p>
    <w:p>
      <w:pPr>
        <w:spacing w:after="0" w:line="183"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There is a further risk that we may not be able to adequately protect our information systems from cyberattacks. Such breaches could result in the disclosure of confidential, protected, or personal information, damage our reputation, and expose us to significant financial and legal exposure, including potential civil fines and penalties, litigation, and regulatory investigations or enforcement actions under laws such as HIPAA, the GDPR, and the CCPA.</w:t>
      </w:r>
    </w:p>
    <w:p>
      <w:pPr>
        <w:spacing w:after="0" w:line="15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risks outlined above, the legal or regulatory actions may also divert our management from their primary operations. Prohibitions, restrictions, or allegations of violations of these laws could materially and adversely affect our business. Hence, ensuring consistent compliance with privacy and data security laws and regulations remains a critical operational imperative for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are subject to regulation by numerous regulatory authorities in the United States in addition to the FDA, which may include the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drugs is subject to additional requirements and regulations, including extensive recordkeeping, licensing, storage and security requirements intended to prevent the unauthorized sale of such pharmaceutical products.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statutes, regulations, or the interpretation of existing regulations could impact our business in the future by requiring, for example:</w:t>
      </w:r>
    </w:p>
    <w:p>
      <w:pPr>
        <w:spacing w:after="0" w:line="27" w:lineRule="exact"/>
        <w:rPr>
          <w:sz w:val="20"/>
          <w:szCs w:val="20"/>
          <w:color w:val="auto"/>
        </w:rPr>
      </w:pPr>
    </w:p>
    <w:p>
      <w:pPr>
        <w:ind w:left="120" w:right="120" w:hanging="4"/>
        <w:spacing w:after="0" w:line="255"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82"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United States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 for example, an application must be submitted to the national competent authority and an independent ethics committee in each country in which we intend to conduct clinical trials, much like the FDA and IRB, respectively. Under the new CTR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w:t>
      </w:r>
    </w:p>
    <w:p>
      <w:pPr>
        <w:spacing w:after="0" w:line="27" w:lineRule="exact"/>
        <w:rPr>
          <w:sz w:val="20"/>
          <w:szCs w:val="20"/>
          <w:color w:val="auto"/>
        </w:rPr>
      </w:pPr>
    </w:p>
    <w:p>
      <w:pPr>
        <w:ind w:left="120" w:right="180" w:hanging="4"/>
        <w:spacing w:after="0" w:line="253" w:lineRule="auto"/>
        <w:tabs>
          <w:tab w:leader="none" w:pos="2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national and patient-level documentation). Part I is assessed by a coordinated review by the competent authorities of all EU Member States in which an application for authorization of a clinical trial has been submitted, or Member States concerned of a draft report prepared by a Reference Member State. Part II is assessed separately by each Member State concerned. The role of the relevant ethics committees in the assessment procedure will continue to be governed by the national law of the Member State concerned, however overall related timelines are defined by the CTR. The new CTR also provides for simplified reporting procedures for clinical trial sponsors.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To obtain regulatory approval of our medicinal products under the EU’s regulatory system, we are required to submit a marketing authorization application, or MAA, to be assessed in the centralized procedure. The centralized procedure allows applicants to obtain a marketing authorization, or MA, that is valid throughout the EU, and the additional Member States of the European Economic Area (Iceland, Liechtenstein and Norway) (EEA). It is compulsory for medicinal products manufactured using biotechnological processes, orphan medicinal products, advanced therapy medicinal products (gene-therapy, somatic cell-EU and which is intended for the treatment of HIV, AIDS, cancer, neurodegenerative disorders, auto-immune and other immune dysfunctions, viral diseases or diabetes. The centralized procedure is optional for any other products containing new active substances not authorized in the EU or for products which constitute a significant therapeutic, scientific, or technical innovation or for which a centralized authorization is in the interests of patients at EU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Once the CHMP has completed its assessment, the CHMP will give a favorable or unfavorable opinion as to whether to grant the authorization.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 opinion.</w:t>
      </w:r>
    </w:p>
    <w:p>
      <w:pPr>
        <w:spacing w:after="0" w:line="19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 when the application is made.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82"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addition, orphan designation can be granted if the product is intended for a life threatening, seriously debilitating, or serious and chronic condition in the EU and when, without incentives, it is unlikely that sales of the product in the EU would be sufficient to justify the necessary investment in its development. Orphan designation is only available if there is no other satisfactory method approved in the EU of diagnosing, preventing, or treating the applicable orphan condition, or if such a method exists, the proposed orphan medicinal product will be of significant benefit to patients affected by such condition, as defined in Regulation (EC) 847/2000.</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Orphan designation provides opportunities for fee reductions, protocol assistance, and access to the centralized procedure. In addition, if a product which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 is shown that the designation criteria are no longer met, including where it is shown that the product is sufficiently profitable not to justify maintenance of market exclusivity. Additionally, an MA may be granted to a similar medicinal product for the same indication at any time if:</w:t>
      </w:r>
    </w:p>
    <w:p>
      <w:pPr>
        <w:spacing w:after="0" w:line="97" w:lineRule="exact"/>
        <w:rPr>
          <w:sz w:val="20"/>
          <w:szCs w:val="20"/>
          <w:color w:val="auto"/>
        </w:rPr>
      </w:pPr>
    </w:p>
    <w:p>
      <w:pPr>
        <w:ind w:left="540" w:right="500" w:hanging="424"/>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to the authorized product, is safer, more effective or otherwise clinically superior;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product consents to a second orphan medicinal product application;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product cannot supply enough orphan medicinal product.</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 pediatric investigation plan, or PIP, in the EU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an MA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or SPC, by six months (provided an application for such extension is made at the same time as filing the SPC application for the product, or at any point up to two years before the SPC expires). This is the case even when the studies’ results are negative. For orphan medicinal products, the incentive is an additional two years of market exclusivity. Scientific advice and protocol assistance at the EMA are free of charge for questions relating to the development of pediatric medicines.</w:t>
      </w:r>
    </w:p>
    <w:p>
      <w:pPr>
        <w:spacing w:after="0" w:line="19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the Priority Medicines scheme, or the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and rapporteur from the CHMP or from the Committee for Advanced Therapies, or CAT, are appointed early in the PRIME scheme facilitating increased understanding of the product at EMA’s committee level. An initial meeting with the CHMP/CAT rapporteur initiates these relationships and includes a team of multidisciplinary experts at the EMA to provide guidance on the overall development and regulatory strategies. PRIME eligibility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82"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does not change the standards for product approval, and there is no assurance that any such designation or eligibility will result in expedited review or approval. The aforementioned EU rules are generally applicable in the EEA. The United Kingdom left the EU on January 31, 2020.</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 pharmaceutical regulations. At present, Great Britain has implemented EU legislation on the marketing, promotion and sale of medicinal products through the Human Medicines Regulations 2012 (as amended). Except in respect of the new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United Kingdom and EU pharmaceutical legislation. However, notwithstanding that there is no wholesale recognition of EU pharmaceutical legislation under the TCA, under a new framework which will be put in place by the Medicines and Healthcare products Regulatory Agency, or MHRA, the United Kingdom’s medicines regulator, from January 1, 2024, the MHRA will take into account decisions on the approval of MAs from the EMA (and certain other regulators) when considering an application for a Great Britain MA.</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27, 2023, the United Kingdom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United Kingdom market (i.e., Great Britain and Northern Ireland), and the EMA will no longer have any role in approving medicinal products destined for Northern Ireland. A single United Kingdom-wide MA will be granted by the MHRA for all medicinal products to be sold in the United Kingdom, enabling products to be sold in a single pack and under a single authorization throughout the United Kingdom. On June 9, 2023, the MHRA announced that the medicines aspects of the Windsor Framework will apply after January 1, 2025.</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 must not be more than five in 10,000. Should an orphan designation be granted, the period or market exclusivity will be set from the date of first approval of the product in Great Britain or the EU, wherever is earliest.</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82"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Rely on Insurance Coverage by Third-Party Payors (third-party payors include Medicare and Medicaid (government payors) and commercial insurance companies such as Blue Cross Blue Shield, Humana, Cigna, etc.) to Pay for Products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w:t>
      </w:r>
    </w:p>
    <w:p>
      <w:pPr>
        <w:spacing w:after="0" w:line="183"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Additionally, the process for determining whether a third-party payor will provide coverage for a product may be separate from the process for setting the price or reimbursement rate that the payor will pay for the product once coverage is approved. Government authorities and other third-party payors, such as private health insurers and health maintenance organizations, decide which products they will pay for and establish reimbursement levels.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 As a result, the coverage determination process is often a time- consuming and costly process that will require us to provide scientific and clinical support for the use of our products to each payor separately, with no assurance that coverage and adequate reimbursement will be obtained. Even if coverage is provided, the approved reimbursement amount may not be high enough to allow us to establish or maintain pricing sufficient to realize a sufficient return on our investment.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Uniform Policy Exists for Coverage and Reimbursement in the United States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an agency within the U.S. Department of Health and Human Services. CMS decides whether and to what extent a new medicine will be covered and reimbursed under Medicare and private payors tend to follow CMS to a substantial degree.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Further, during to the COVID-19 pandemic, millions of individuals lost employer-based insurance coverage. It is unclear what effect, if any, the American Rescue Plan will have on the number of covered individuals, which may adversely affect our ability to commercialize our products.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82"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Affordable Care Act and Legislative Reform Measures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ACA was enacted, which, among other things,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and executive, challenges to certain aspects of the ACA. In addition, other legislative changes have been proposed and adopted in the United States since the ACA was enacted. For example, the American Rescue Plan Act of 2021 eliminates the statutory Medicaid drug rebate cap, currently set at 100% of a drug’s average manufacturer price, for single source and innovator multiple source drugs, beginning January 1, 2024. Further, the Budget Control Act of 2011 and subsequent legislation, among other things, created measures for spending reductions by Congress that include aggregate reductions of Medicare payments to providers of 2% per fiscal year, which remain in effect through 2031.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without generic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Further, judicial challenges to the IRA may have an impact on the implementation of the IRA’s provisions; and the overall effects of the IRA on our business and the healthcare industry in general is not yet known.</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These laws and regulations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82"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completion of the Merger, we had 95 full-time employees, including 32 who hold Ph.D. degrees, and one part-time employee; 72 employees are engaged in research and development and 24 employees are engaged in management or general and administrative activities. None of our employees are subject to a collective bargaining agreement or represented by a trade or labor union. We consider our relationship with our employees to be good. We also employ consultants from time to time, including to assist with Merger integration efforts.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principal office is now located at One Kendall Square, Building 600-700, Suite 6-401, Cambridge, MA 02139, where we lease approximately 22,500 square feet of office space. The lease term began in August 2020 and will end in September 2024. We also lease 18,148 square feet of laboratory and office space at 42 &amp; 45 Cummings Park in Woburn, Massachusetts. We have plans to relocate our headquarters and occupy 50,453 square feet of laboratory and office space at 60 First Street in Cambridge, Massachusetts upon completion of the buildout of the space in 2024.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other claims and legal proceedings relating to claims arising out of our operations. We are not currently a party to any material legal proceedings.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82"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directors and executive officers and their ages as of December 1, 2023 are listed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640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8"/>
        </w:trPr>
        <w:tc>
          <w:tcPr>
            <w:tcW w:w="304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0" w:type="dxa"/>
            <w:vAlign w:val="bottom"/>
          </w:tcPr>
          <w:p>
            <w:pPr>
              <w:spacing w:after="0"/>
              <w:rPr>
                <w:sz w:val="15"/>
                <w:szCs w:val="15"/>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Ram Aiyar</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45</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Vineet Agarwal</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42</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Steve Colletti</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58</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Todd Chappell</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50</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Shelby Walker</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49</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David L. Lucchino</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54</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Ali Behbahani </w:t>
            </w:r>
            <w:r>
              <w:rPr>
                <w:rFonts w:ascii="Times New Roman" w:cs="Times New Roman" w:eastAsia="Times New Roman" w:hAnsi="Times New Roman"/>
                <w:sz w:val="25"/>
                <w:szCs w:val="25"/>
                <w:color w:val="auto"/>
                <w:vertAlign w:val="superscript"/>
              </w:rPr>
              <w:t>(2)(3)</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47</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Nessan Bermingham </w:t>
            </w:r>
            <w:r>
              <w:rPr>
                <w:rFonts w:ascii="Times New Roman" w:cs="Times New Roman" w:eastAsia="Times New Roman" w:hAnsi="Times New Roman"/>
                <w:sz w:val="25"/>
                <w:szCs w:val="25"/>
                <w:color w:val="auto"/>
                <w:vertAlign w:val="superscript"/>
              </w:rPr>
              <w:t>(1)(2)</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51</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Jean-Francois Formela </w:t>
            </w:r>
            <w:r>
              <w:rPr>
                <w:rFonts w:ascii="Times New Roman" w:cs="Times New Roman" w:eastAsia="Times New Roman" w:hAnsi="Times New Roman"/>
                <w:sz w:val="25"/>
                <w:szCs w:val="25"/>
                <w:color w:val="auto"/>
                <w:vertAlign w:val="superscript"/>
              </w:rPr>
              <w:t>(1)(3)</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67</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Rachel Meyers</w:t>
            </w:r>
            <w:r>
              <w:rPr>
                <w:rFonts w:ascii="Times New Roman" w:cs="Times New Roman" w:eastAsia="Times New Roman" w:hAnsi="Times New Roman"/>
                <w:sz w:val="25"/>
                <w:szCs w:val="25"/>
                <w:color w:val="auto"/>
                <w:vertAlign w:val="superscript"/>
              </w:rPr>
              <w:t>(3)</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60</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36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Timothy Pearson </w:t>
            </w:r>
            <w:r>
              <w:rPr>
                <w:rFonts w:ascii="Times New Roman" w:cs="Times New Roman" w:eastAsia="Times New Roman" w:hAnsi="Times New Roman"/>
                <w:sz w:val="26"/>
                <w:szCs w:val="26"/>
                <w:color w:val="auto"/>
                <w:vertAlign w:val="superscript"/>
              </w:rPr>
              <w:t>(1)(2)</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56</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Ram Aiyar, Ph.D., M.B.A. </w:t>
      </w:r>
      <w:r>
        <w:rPr>
          <w:rFonts w:ascii="Times New Roman" w:cs="Times New Roman" w:eastAsia="Times New Roman" w:hAnsi="Times New Roman"/>
          <w:sz w:val="17"/>
          <w:szCs w:val="17"/>
          <w:color w:val="auto"/>
        </w:rPr>
        <w:t>Dr. Aiyar has served as our Chief Executive Officer and a director since completion of the Merger. Dr. Aiyar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previously served as Chief Executive Officer and as a director of Legacy Korro since November 2020, and has served as its President since November 2021. Prior to joining Legacy Korro, Dr. Aiyar co-founded Corvidia Therapeutics, Inc. and most recently served its as Chief Financial Officer from January 2020 to November 2020 and Executive Vice President, Corporate and Business Development from February 2016 to November 2020. Prior to that, Dr. Aiyar held leadership roles in corporate development, product development, management, research, finance and strategy at BeneVir BioPharma, Inc., BioHealth Innovation, Inc., FlowMetric, Inc., Sofinnova Partners, J.P. Morgan Chase and Johnson &amp; Johnson Pharmaceuticals (NYSE:JNJ).</w:t>
      </w:r>
    </w:p>
    <w:p>
      <w:pPr>
        <w:spacing w:after="0" w:line="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Dr. Aiyar is a co-founder and director of Protean Bio, Inc., a director of Triveni Bio, Inc. and a past director of Avidea Technologies, Inc. Dr. Aiyar holds an M.B.A. in finance and business strategy from INSEAD (France/Singapore), an M.S. in computer engineering and a Ph.D. in electrical and computer engineering from Drexel University, and a B.E. in electronics engineering from Mumbai University. We believe Dr. Aiyar is qualified to serve on the Board because of his significant operational and senior management experience in the biopharmaceutical industry.</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Vineet Agarwal, M.B.A. </w:t>
      </w:r>
      <w:r>
        <w:rPr>
          <w:rFonts w:ascii="Times New Roman" w:cs="Times New Roman" w:eastAsia="Times New Roman" w:hAnsi="Times New Roman"/>
          <w:sz w:val="18"/>
          <w:szCs w:val="18"/>
          <w:color w:val="auto"/>
        </w:rPr>
        <w:t>Mr. Agarwal served as Chief Financial Officer since the Merger and previously served as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Korro since May 2021. Prior to joining Korro Bio, Mr. Agarwal joined J.P. Morgan Chase &amp; Co. In 2007 and advised healthcare companies on merger &amp; acquisitions, capital raising and strategic initiatives. Mr. Agarwal served as Executive Director, Biotech Investment Banking at J.P. Morgan Chase &amp; Co. from January 2019 until May 2021 and as Vice President, Biotech Investment Banking from January 2016 until January 2019. Mr. Agarwal previously served in numerous leadership roles at J.P. Morgan Chase &amp; Co. across different countries. Mr. Agarwal holds an M.B.A. from the Institute of Management Technology, India, and a Bachelor’s degree in finance from Shri Ram College of Commerce, India.</w:t>
      </w:r>
    </w:p>
    <w:p>
      <w:pPr>
        <w:spacing w:after="0" w:line="182"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 Colletti, Ph.D. </w:t>
      </w:r>
      <w:r>
        <w:rPr>
          <w:rFonts w:ascii="Times New Roman" w:cs="Times New Roman" w:eastAsia="Times New Roman" w:hAnsi="Times New Roman"/>
          <w:sz w:val="18"/>
          <w:szCs w:val="18"/>
          <w:color w:val="auto"/>
        </w:rPr>
        <w:t>Dr. Colletti served as Chief Scientific Officer since the Merger and previously served as Chief Scientific Officer of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Korro since February 2023. Dr. Colletti most recently served as Senior Vice President of Drug Discovery Research and Development at Zymergen, Inc. from May 2021 to January 2023.</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82"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Prior to this role, he served as Chief Scientific Officer of Lodo Therapeutics from March 2020 to May 2021 and as Senior Vice President, Head of Research and Development from September 2018 to March 2020. He previously held multiple leadership roles at Merck (NYSE:MRK), including in small molecule, natural products, oligonucleotide, peptide and fusion protein bioconjugate drug discovery, targeting programs in cardiovascular and respiratory disease, diabetes and obesity, immunological disorders, infectious diseases, neuroscience and oncology. Also at Merck, Dr. Colletti built and led the RNA Therapeutics Medicinal Chemistry department and was a core member of multiple development teams responsible for discovering more than a dozen preclinical candidates and advancing them to clinical development. Dr. Colletti is an inventor and author of over 130 patents and publications. Dr. Colletti holds a Ph.D. in chemistry from Boston University and a B.S. in chemistry from Loyola University, and was a National Institutes of Health postdoctoral fellow in chemistry at the Scripps Research Institute.</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Chappell, M.B.A. </w:t>
      </w:r>
      <w:r>
        <w:rPr>
          <w:rFonts w:ascii="Times New Roman" w:cs="Times New Roman" w:eastAsia="Times New Roman" w:hAnsi="Times New Roman"/>
          <w:sz w:val="18"/>
          <w:szCs w:val="18"/>
          <w:color w:val="auto"/>
        </w:rPr>
        <w:t>Mr. Chappell has served as Chief Operating Officer since the Merger and previously served as Chief Operating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Korro since August 2023 and previously served as Senior Vice President, Strategy and Portfolio Planning of Korro Bio from March 2021. Before joining Korro Bio, Mr. Chappell served as Chief Executive Officer of Rasio Therapeutics, Inc. from June 2019 until March 2021. Prior to this role, he served as Chief Executive Officer of Perceptive Navigation, LLC from June 2015 until May 2019. Mr. Chappell previously managed a portfolio of start-up pharmaceutical and medical device companies as an entrepreneur-in-residence at BioHealth Innovation, Inc. Prior to that, Mr. Chappell was a Vice President of Operations at Shape Pharmaceuticals, Inc., a portfolio company of HealthCare Ventures, LLC, where he oversaw all day-to-day operations for the development of a novel HDAC inhibitor for cutaneous t-cell lymphoma. Prior to this role, Mr. Chappell was an Executive Director of New Products at CombinatoRx, Inc., where he led the advancement of three programs from assay stage into human clinical studies. Mr. Chappell holds an M.B.A. from Boston University and a B.S. in biology from the University of California, Los Angeles.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Shelby J. Walker, M.S., J.D. </w:t>
      </w:r>
      <w:r>
        <w:rPr>
          <w:rFonts w:ascii="Times New Roman" w:cs="Times New Roman" w:eastAsia="Times New Roman" w:hAnsi="Times New Roman"/>
          <w:sz w:val="18"/>
          <w:szCs w:val="18"/>
          <w:color w:val="auto"/>
        </w:rPr>
        <w:t>Ms. Walker has served as Senior Vice President, General Counsel and Corporate Secretary since the Merger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Senior Vice President, General Counsel and Corporate Secretary of Legacy Korro since May 2023. Ms. Walker most recently served as Senior Vice President and Head of Intellectual Property at CRISPR Therapeutics (Nasdaq:CRSP) from March 2018 to April 2023. She previously served as General Counsel at Ginkgo Bioworks, a synthetic biology company, from May 2016 to March 2018. Prior to this role, she served as Vice President, Associate General Counsel and Chief Intellectual Property Counsel at Dyax Corporation, and previously held intellectual property leadership roles at Novo Nordisk (NYSE:NVO) and ZymoGenetics. Ms. Walker holds a J.D. and L.L.M. in intellectual property law from the University of New Hampshire School of Law, master’s degrees in biotechnology and regulatory science from Johns Hopkins University, and a B.S. in biotechnology from Worcester Polytechnic Institute.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L. Lucchino </w:t>
      </w:r>
      <w:r>
        <w:rPr>
          <w:rFonts w:ascii="Times New Roman" w:cs="Times New Roman" w:eastAsia="Times New Roman" w:hAnsi="Times New Roman"/>
          <w:sz w:val="18"/>
          <w:szCs w:val="18"/>
          <w:color w:val="auto"/>
        </w:rPr>
        <w:t>previously served as our President and Chief Executive Officer through completion of the Merger and has also served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each since November 2014 and was a co-founder of Frequency with Dr. Robert S. Langer and Dr. Christopher R. Loose. From December 2014 until June 2016, Mr. Lucchino served as the President of Entrega Bio, a biotechnology company focused on oral drug delivery technology. Prior to that, Mr. Lucchino cofounded Semprus BioSciences, or Semprus, a biotechnology company, and served as its President and Chief Executive Officer from June 2007 to June 2012. Mr. Lucchino oversaw the development of Semprus’ lead medical product, which received FDA clearance in 2012. Semprus was acquired by Teleflex, Inc., or Teleflex, in June 2012. Prior to Semprus, Mr. Lucchino worked at the investment firm Polaris Partners. He started his biotech career by Co-Founding LaunchCyte, an investment firm where he was also a Managing Director. Mr. Lucchino is the past chairman of the board of directors of MassBio, a nonprofit organization that represents over 1,500 life science firms and provides services and support for the biotechnology industry in Massachusetts. He is a member of the College of Fellows of the American Institute for Medical and Biological Engineering and was appointed by Massachusetts’ Governor Charlie Baker as a member of the Commonwealth’s STEM Advisory Council. Mr. Lucchino also served as a trustee of Mt. Auburn Hospital, a Harvard Medical</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82"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7"/>
          <w:szCs w:val="17"/>
          <w:color w:val="auto"/>
        </w:rPr>
        <w:t>School facility for fifteen years, a trustee of the Multiple Myeloma Research Foundation, and a member of the Board of NOLS (The National Outdoor Leadership School). Mr. Lucchino holds an MBA from the Massachusetts Institute of Technology’s Sloan School of Management, an M.S. from the Newhouse School of Journalism at Syracuse University, and a B.A. in Philosophy and Religious Studies from Denison University. We believe</w:t>
      </w:r>
    </w:p>
    <w:p>
      <w:pPr>
        <w:spacing w:after="0" w:line="2"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Mr. Lucchino is qualified to continue to serve on the Board because of his extensive management experience in the biotechnology and pharmaceutical industry.</w:t>
      </w:r>
    </w:p>
    <w:p>
      <w:pPr>
        <w:spacing w:after="0" w:line="177"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Ali Behbahani, M.D., M.B.A. </w:t>
      </w:r>
      <w:r>
        <w:rPr>
          <w:rFonts w:ascii="Times New Roman" w:cs="Times New Roman" w:eastAsia="Times New Roman" w:hAnsi="Times New Roman"/>
          <w:sz w:val="18"/>
          <w:szCs w:val="18"/>
          <w:color w:val="auto"/>
        </w:rPr>
        <w:t>Dr. Behbahani has served on the Board since completion of the Merger, and previously served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Korro’s board of directors since August 2019. Dr. Behbahani joined New Enterprise Associates, Inc., or NEA, in 2007 and is a General Partner on the healthcare team. He previously held positions at The Medicines Company, Morgan Stanley Venture Partners and Lehman Brothers.</w:t>
      </w: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Dr. Behbahani has served as a member of the board of directors of Monte Rosa Therapeutics, Inc. (Nasdaq:GLUE) since April 2020, Black Diamond Therapeutics (Nasdaq:BDTX) since December 2018, Nkarta, Inc. (Nasdaq:NKTX) since August 2015, CRISPR Therapeutics AG (Nasdaq:CRSP) since April 2015, Arcellx, Inc. (Nasdaq:ACLX) since February 2015, Adaptimmune Therapeutics Plc (Nasdaq:ADAP) since September 2014, CVRx, Inc. (Nasdaq:CVRX) since July 2013, Minerva Surgical, Inc. (Nasdaq:UTRS) since May 2011, and was on the board of Nevro Corp. (NYSE:NVRO) from August 2014 to March 2019, Genocea Biosciences (Nasdaq:GNCA) from February 2018 to May 2022, and Oyster Point Pharma (Nasdaq:OYST) from July 2017 to January 2023. He also serves on a number of private company boards. Dr. Behbahani holds a B.S. in biomedical engineering, electrical engineering and chemistry from Duke University, an M.B.A. from the Wharton School of the University of Pennsylvania and an M.D. from the University of Pennsylvania School of Medicine. We believe Dr. Behbahani is qualified to serve on the Board because of his extensive experience as a public company director and investor in the biotech industry.</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Nessan Bermingham, Ph.D. </w:t>
      </w:r>
      <w:r>
        <w:rPr>
          <w:rFonts w:ascii="Times New Roman" w:cs="Times New Roman" w:eastAsia="Times New Roman" w:hAnsi="Times New Roman"/>
          <w:sz w:val="18"/>
          <w:szCs w:val="18"/>
          <w:color w:val="auto"/>
        </w:rPr>
        <w:t>Dr. Bermingham, one of Legacy Korro’s co-founders, has served as Chairperson of the Board since completion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Merger, and previously served as Legacy Korro’s Chairman and on its board of directors since November 2021, and previously served as its President and Executive Chairman from November 2018 to November 2021. Dr. Bermingham has been an Operating Partner at Khosla Ventures since December 2021 and has served as Interim Chief Executive Officer of Everyone Medicines since October 2022. Previously, he co-founded and served as President and Chief Executive Officer of Triplet Therapeutics from November 2018 until July 2021. Dr. Bermingham was also a Venture Partner at Atlas Venture from February 2018 until July 2021. Dr. Bermingham also served as Interim Chief Executive Officer of Liberate Bio from October 2022 until February 2023. Prior to that role, Dr. Bermingham co-founded and served as President and Chief Executive Officer of Intellia Therapeutics (Nasdaq:NTLA) from 2014 to 2017. Dr. Bermingham currently serves on the boards of directors of a number of private companies and previously served on the board of Xilio Therapeutics (Nasdaq:XLO). He also previously served as the chair of the board of F-Star Therapeutics prior to its reverse merger and subsequent to its acquisition as a public company, and served on the boards of several private companies. Dr. Bermingham holds a bachelor’s degree in genetics from Queen’s University Belfast and a Ph.D. in molecular biology from Imperial College London, and was a Howard Hughes Associate Fellow at Baylor College of Medicine. We believe Dr. Bermingham is qualified to serve on the Board because of his significant leadership and investment experience in the biotech industry.</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Jean-Francois Formela, M.D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M.B.A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Formela, one of Legacy Korro’s co-founders, has served as a member of the Board since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Merger, and previously served on Legacy Korro’s board of directors since November 2018. Dr. Formela is currently a partner at Atlas Venture, a life sciences-focused venture capital firm, which he joined in 1993. Dr. Formela is a co-founder and director of IFM Therapeutics, and serves as a director of Ikena Oncology, Inc. (Nasdaq:IKNA), as well as a director of the following private companies: Scorpion Therapeutics, Inc., Sail Bio, Inc., Triveni Bio, Inc. and Travin Bio, Inc. Dr. Formela also previously served as a director of Intellia Therapeutics, Inc. (Nasdaq:NTLA), Spero Therapeutics (Nasdaq:SPRO) and several private companies. Dr. Formela is a member of the Mass General Brigham Innovation Advisory Board and a former trustee of the Boston Institute of Contemporary Art. Dr. Formela began his career as a physician practicing emergency medicine at Necker University Hospital in Paris. He holds 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82"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M.D. from the Paris University School of Medicine and an M.B.A. from Columbia University. We believe Dr. Formela’s experience as an investor and board member in the life sciences industry, as well as his scientific and medical knowledge, provides him with the qualifications and skills to serve on the Board.</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Meyers, Ph.D. </w:t>
      </w:r>
      <w:r>
        <w:rPr>
          <w:rFonts w:ascii="Times New Roman" w:cs="Times New Roman" w:eastAsia="Times New Roman" w:hAnsi="Times New Roman"/>
          <w:sz w:val="18"/>
          <w:szCs w:val="18"/>
          <w:color w:val="auto"/>
        </w:rPr>
        <w:t>Dr. Meyers has served as a member of the Board since November 2023. Dr. Meyers previously served as the 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Scientific Officer at Faze Medicines, Inc. from June 2020 to January 2023. Prior to Faze Medicines, Dr. Meyers served as Entrepreneur-in-Residence at Third Rock Ventures. She also spent over 13 years at Alynlam Pharmaceuticals, Inc. from April 2003 to November 2016 and remains an active member of the scientific advisory board. Dr. Meyers also serves on several scientific advisory boards, including the National Advisory Board on Innovation and Entrepreneurship through the Department of Commerce. Rachel is listed as an inventor on many patents and patent applications, and has numerous peer-reviewed publications. Dr. Meyers completed her postdoctoral training at Harvard Medical School in the field of signal transduction and received her Ph.D. at the Massachusetts Institute of Technology in the field of in vitro transcription. We believe Dr. Meyers’ extensive experience in the biotech industry and her expertise in drug discovery and development, including in RNA-based medicines, provide her with the qualifications and skills to serve on the Board.</w:t>
      </w:r>
    </w:p>
    <w:p>
      <w:pPr>
        <w:spacing w:after="0" w:line="188"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R. Pearson. </w:t>
      </w:r>
      <w:r>
        <w:rPr>
          <w:rFonts w:ascii="Times New Roman" w:cs="Times New Roman" w:eastAsia="Times New Roman" w:hAnsi="Times New Roman"/>
          <w:sz w:val="17"/>
          <w:szCs w:val="17"/>
          <w:color w:val="auto"/>
        </w:rPr>
        <w:t>Mr. Pearson has served on the Board since completion of the Merger, and has served as the Chief Executive Officer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Carrick Therapeutics, a privately held oncology company, since July 2019. Mr. Pearson served as an Executive Vice President and the Chief Financial Officer of TESARO, Inc., an oncology-focused biopharmaceutical company, from 2014 until its acquisition by GlaxoSmithKline in February 2019. He served as an Executive Vice President, Chief Financial Officer and Treasurer of Catalyst Health Solutions, a publicly held pharmacy benefit management company, from 2011 until its acquisition by SXC Health Solutions in 2012. Prior to joining Catalyst Health Solutions, Mr. Pearson served as the Chief Financial Officer and Executive Vice President of MedImmune, Inc. Mr. Pearson has served on the board of directors of GlycoMimetics, Inc. (Nasdaq:GLYC) since 2014 and as its chairperson since 2019. He previously served on the board of directors of Ra Pharmaceuticals, Inc., a publicly held biopharmaceutical company until its acquisition by UCB in April 2020. Mr. Pearson is a Certified Public Accountant and holds dual B.S. degrees in business administration from the University of Delaware and in accounting from the University of Maryland, University College, as well as an M.S. degree in finance from Loyola College. We believe Mr. Pearson is qualified to serve on the Board because of his experience in the biopharmaceutical industry and his expertise in accounting and finance, strategic planning and leadership of complex organizations, and human capital management.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There are no family relationships among any of our directors or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divided into three staggered classes, with one class to be elected at each annual meeting to serve for a three-year term.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and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standing committees of our board of directors of are the following: audit committee, compensation committee and a nominating and corporate governance committee, and each operate pursuant to a charter. Our board of directors may establish other committees from time to time to assist us and our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82"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committee’s responsibilities will include:</w:t>
      </w:r>
    </w:p>
    <w:p>
      <w:pPr>
        <w:spacing w:after="0" w:line="67"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consists of Timothy Pearson, Nessan Bermingham and Jean-Francois Formela. Timothy Pearson is the chair of the audit committee and is a financial expert under the rules of the SEC. To qualify as independent to serve on our audit committee, listing standards of Nasdaq and the applicable SEC rules require that a director not accept any consulting, advisory or other compensatory fee from us, other than for service as a director, or be an affiliated person of us. We believe that the composition of the audit committee complies with the applicable requirements of the rules and regulations of Nasdaq and the SEC.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will oversee policies relating to compensation and benefits of our officers and employees. Among other matters, the compensation committee’s responsibilities include:</w:t>
      </w:r>
    </w:p>
    <w:p>
      <w:pPr>
        <w:spacing w:after="0" w:line="67" w:lineRule="exact"/>
        <w:rPr>
          <w:sz w:val="20"/>
          <w:szCs w:val="20"/>
          <w:color w:val="auto"/>
        </w:rPr>
      </w:pPr>
    </w:p>
    <w:p>
      <w:pPr>
        <w:ind w:left="1080" w:right="32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of directors the corporate goals and objectives relevant to the compensation of our Chief Executive Officer;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recommending to the board of directors the cash compensation of our Chief Executive Officer;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cash compensation of our other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82"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 of equity-based awards;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22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Nessan Bermingham, Ali Behbahani and Timothy Pearson. Nessan Bermingham is the chair of the compensation committee. Each member of our compensation committee is a “non-employee” director within the meaning of Rule 16b-3 of the rules promulgated under the Exchange Act and independent within the meaning of the independent director guidelines of Nasdaq. We believe that the composition of the compensation committee complies with the applicable requirements of the rules and regulations of Nasdaq.</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responsibilities include:</w:t>
      </w:r>
    </w:p>
    <w:p>
      <w:pPr>
        <w:spacing w:after="0" w:line="131"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Ali Behbahani, Jean-Francois Formela and Rachel Meyers. Ali Behbahani is the chair of the nominating and corporate governance committee.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within the meaning of Rule 16b-3 of the rules promulgated under the Exchange Act and independent within the meaning of the independent director guidelines of Nasdaq. None of the our executive officers serve as a member of the board of directors or compensation committee of any entity that has one or more executive officers who is serving on our board of directors or compensation committee.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82"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the Merger, Legacy Korro did not have a formal policy to provide any cash or equity compensation to its non-employee directors for their service on its board of directors or committees of its board of directors, nor did any non-employee director receive any compensation for serving on Legacy Korro’s board of directors, except for Dr. Bermingham who received an annual payment of $250,000.</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that is designed to provide a total compensation package that enables us to attract and retain, on a long-term basis, high-caliber directors who are not our employees or officers or of our subsidiaries. The non-employee director compensation policy became effective after the Merger.</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Under the non-employee director compensation policy, our non-employee directors are eligible to receive cash retainers (which will be prorated for partial years of service) and equity awards as set forth below:</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on the board of directors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retainer for annual service as non-executive 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retainer for lead director if there is no non-executive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audit committee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compensation committee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 than 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nominating and governance committee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Annual service as member of the nominating and governance committee (other than</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policy provides that, upon initial election or appointment to our board following the effective date of the policy, each new non-employee director will be granted a non-statutory stock option with a value of $300,000 (as determined in accordance with the policy), or the Director Initial Grant. The Director Initial Grant will vest in substantially equal annual installments over three years, subject to continued service as a non-employee director through the applicable vesting date. On the date of each annual meeting of our stockholders, each non-employee director who has been serving as a non-employee director for at least six months as of such date and will continue as a non-employee director following such meeting will be granted an annual award of a non-statutory stock option with a value of $150,000, or the Director Annual Grant. The Director Annual Grant will vest in full on the earlier of the one-year anniversary of the grant date or on the date of our next annual meeting of stockholders, subject to continued service as a non-employee director through the applicable vesting date. The Director Initial Grant and Director Annual Grants are subject to full accelerated vesting upon our sale our company. All of the foregoing stock options would be granted with a per share exercise price equal to the fair market value of a share of our common stock on the date of grant and would have a 10 year term.</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of our non-employee directors for services as a director in a calendar year period will not exceed $1,000,000 in the first calendar year such individual becomes a non-employee director and $750,000 in any other calendar year.</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the board or any committee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employee directors will not receive any additional compensation for their service as a director.</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82"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LEGACY KORRO DIRECTOR COMPENSATION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adopted a non-employee director compensation policy, which was amended and restated in connection with the closing of the Merger. Each non-employee director will receive compensation for his or her service on the Board in accordance with our non-employee director compensation policy, which provides for the following cash and equity retainers:</w:t>
      </w:r>
    </w:p>
    <w:p>
      <w:pPr>
        <w:spacing w:after="0" w:line="81"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members of the Board of Directors (or $70,000 for the chair of the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$7,500 for service on the Audit Committee (or $15,000 for service as chair of the Audit Committee);</w:t>
      </w:r>
    </w:p>
    <w:p>
      <w:pPr>
        <w:spacing w:after="0" w:line="130" w:lineRule="exact"/>
        <w:rPr>
          <w:rFonts w:ascii="Times New Roman" w:cs="Times New Roman" w:eastAsia="Times New Roman" w:hAnsi="Times New Roman"/>
          <w:sz w:val="18"/>
          <w:szCs w:val="18"/>
          <w:color w:val="auto"/>
        </w:rPr>
      </w:pPr>
    </w:p>
    <w:p>
      <w:pPr>
        <w:ind w:left="1080" w:right="92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$5,000 for service on the Compensation Committee (or $10,000 for service as chair of the Compensation Committee);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$4,000 for service on the Nominating and Corporate Governance Committee (or $8,000 for service as chair of the Nominating and Corporate Governance Committee).</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upon initial election or appointment, each new non-employee director will be granted a non-statutory stock option with a value of up to $300,000 (as determined in accordance with the policy and provided, that the maximum number of shares of our common stock subject to each such option shall be 16,000 shares). The initial grant will vest in substantially equal annual installments over three years, subject to continued service through the applicable vesting date. On the date of each annual meeting of stockholders, each non-employee director who has been serving as a non-employee director for at least six months as of such date and will continue as a non-employee director following such meeting will be granted an annual award of a non-statutory stock option with a value of $150,000 (provided, that the maximum number of shares of our common stock subject to each such option shall be 8,000 shares). The annual grants will vest in full on the earlier of the one-year anniversary of the grant date or on the date of our next annual meeting of stockholders, subject to continued service through the applicable vesting date. These director grants are subject to full accelerated vesting upon the sale of our company. All of the foregoing stock options will be granted with a per share exercise price equal to the fair market value of a share of our common stock on the grant date have a 10 year term.</w:t>
      </w:r>
    </w:p>
    <w:p>
      <w:pPr>
        <w:spacing w:after="0" w:line="19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services as a director in a calendar year period will not exceed $1,000,000 in the first calendar year such individual becomes a non-employee director and $750,000 in any other calendar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Director Compensation Table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paid by Legacy Korro for each person who served as a non-employee director of the Legacy Korro board of directors during 2022. Dr. Aiyar, our Chief Executive Officer and President (who served in such capacity at Legacy Korro prior to the Merger), did not receive any additional compensation from Legacy Korro for his services on the Legacy Korro board of directors. The compensation received by Dr. Aiyar as a named executive officer, or NEO, of Legacy Korro is set forth below in “</w:t>
      </w:r>
      <w:r>
        <w:rPr>
          <w:rFonts w:ascii="Times New Roman" w:cs="Times New Roman" w:eastAsia="Times New Roman" w:hAnsi="Times New Roman"/>
          <w:sz w:val="18"/>
          <w:szCs w:val="18"/>
          <w:i w:val="1"/>
          <w:iCs w:val="1"/>
          <w:color w:val="auto"/>
        </w:rPr>
        <w:t>Legacy Korro Executive Compensation.</w:t>
      </w:r>
      <w:r>
        <w:rPr>
          <w:rFonts w:ascii="Times New Roman" w:cs="Times New Roman" w:eastAsia="Times New Roman" w:hAnsi="Times New Roman"/>
          <w:sz w:val="18"/>
          <w:szCs w:val="18"/>
          <w:color w:val="auto"/>
        </w:rPr>
        <w:t>” Legacy Korro share amounts reflect actual shares of Legacy Korro capital stock and have not been adjusted to reflect the exchange for shares our common stock in the Merger.</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Fees Paid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 Earned</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60" w:type="dxa"/>
            <w:vAlign w:val="bottom"/>
          </w:tcPr>
          <w:p>
            <w:pPr>
              <w:spacing w:after="0"/>
              <w:rPr>
                <w:sz w:val="12"/>
                <w:szCs w:val="12"/>
                <w:color w:val="auto"/>
              </w:rPr>
            </w:pPr>
          </w:p>
        </w:tc>
        <w:tc>
          <w:tcPr>
            <w:tcW w:w="10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4240" w:type="dxa"/>
            <w:vAlign w:val="bottom"/>
            <w:gridSpan w:val="2"/>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Nessan Bermingham(1)</w:t>
            </w:r>
          </w:p>
        </w:tc>
        <w:tc>
          <w:tcPr>
            <w:tcW w:w="3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Ali Behbahani(2)</w:t>
            </w:r>
          </w:p>
        </w:tc>
        <w:tc>
          <w:tcPr>
            <w:tcW w:w="34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Hannah Chang(2)</w:t>
            </w:r>
          </w:p>
        </w:tc>
        <w:tc>
          <w:tcPr>
            <w:tcW w:w="3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Jean-Francois Formela(2)</w:t>
            </w:r>
          </w:p>
        </w:tc>
        <w:tc>
          <w:tcPr>
            <w:tcW w:w="34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Omar Khwaja(3)</w:t>
            </w:r>
          </w:p>
        </w:tc>
        <w:tc>
          <w:tcPr>
            <w:tcW w:w="4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365"/>
        </w:trPr>
        <w:tc>
          <w:tcPr>
            <w:tcW w:w="2960" w:type="dxa"/>
            <w:vAlign w:val="bottom"/>
          </w:tcPr>
          <w:p>
            <w:pPr>
              <w:spacing w:after="0"/>
              <w:rPr>
                <w:sz w:val="24"/>
                <w:szCs w:val="24"/>
                <w:color w:val="auto"/>
              </w:rPr>
            </w:pPr>
          </w:p>
        </w:tc>
        <w:tc>
          <w:tcPr>
            <w:tcW w:w="3460" w:type="dxa"/>
            <w:vAlign w:val="bottom"/>
          </w:tcPr>
          <w:p>
            <w:pPr>
              <w:jc w:val="right"/>
              <w:ind w:right="2016"/>
              <w:spacing w:after="0"/>
              <w:rPr>
                <w:sz w:val="20"/>
                <w:szCs w:val="20"/>
                <w:color w:val="auto"/>
              </w:rPr>
            </w:pPr>
            <w:r>
              <w:rPr>
                <w:rFonts w:ascii="Times New Roman" w:cs="Times New Roman" w:eastAsia="Times New Roman" w:hAnsi="Times New Roman"/>
                <w:sz w:val="18"/>
                <w:szCs w:val="18"/>
                <w:color w:val="auto"/>
              </w:rPr>
              <w:t>167</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Bermingham’s cash fees were paid for his services as Chairman of the Legacy Korro board of directors. As of December 31, 2022,</w:t>
      </w:r>
    </w:p>
    <w:p>
      <w:pPr>
        <w:spacing w:after="0" w:line="27" w:lineRule="exact"/>
        <w:rPr>
          <w:rFonts w:ascii="Times New Roman" w:cs="Times New Roman" w:eastAsia="Times New Roman" w:hAnsi="Times New Roman"/>
          <w:sz w:val="18"/>
          <w:szCs w:val="18"/>
          <w:color w:val="auto"/>
        </w:rPr>
      </w:pPr>
    </w:p>
    <w:p>
      <w:pPr>
        <w:ind w:left="54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Bermingham held options to purchase 1,349,645 shares of Legacy Korro’s common stock and 202,150 shares of Legacy Korro’s restricted stock.</w:t>
      </w: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none of Dr. Behbahani, Dr. Chang or Dr. Formela held any outstanding equity awards.</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Khwaja’s cash fees were paid for his services on the Legacy Korro board of directors. As of December 31, 2022, Dr. Khwaja held options to purchase 75,000 shares of Legacy Korro’s common stock.</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20"/>
          </w:cols>
          <w:pgMar w:left="320" w:top="482" w:right="6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LEGACY KORRO 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Prior to the Merger</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any reference in this section of this prospectus to “Legacy Korro” refers to Legacy Korro and its consolidated subsidiaries prior to the consummation of the Merger. As an emerging growth company, Legacy Korro opted to comply with the executive compensation disclosure rules applicable to “smaller reporting companies” as such term is defined in the rules promulgated under the Securities Act, which require compensation disclosure for its principal executive officer and two other most highly compensated executive officers who became our executive officers in the Merger.</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the executive officers of Legacy Korro who would have been “named executive officers” for 2022 and who are now serving as our executive officers . Such executive officers consist of the following persons, referred to herein as Legacy Korro’s NEOs:</w:t>
      </w:r>
    </w:p>
    <w:p>
      <w:pPr>
        <w:spacing w:after="0" w:line="81"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 Aiyar, our Chief Executive Officer and President;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Vineet Agarwal, our Chief Financial Officer.</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Each of Legacy Korro’s NEOs serves our company in the same capacities as prior to the consummation of the Merger. This discussion may contain forward-looking statements that are based on our current plans, considerations, expectations and determinations regarding future compensation programs. Actual compensation programs that we adopt could vary significantly from our historical practices and currently planned programs summarized in this discussion.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Summary Compensation Table – Legacy Korro</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Legacy Korro’s NEOs for services during 2022.</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80" w:type="dxa"/>
            <w:vAlign w:val="bottom"/>
          </w:tcPr>
          <w:p>
            <w:pPr>
              <w:spacing w:after="0"/>
              <w:rPr>
                <w:sz w:val="15"/>
                <w:szCs w:val="15"/>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Pr>
          <w:p>
            <w:pPr>
              <w:spacing w:after="0"/>
              <w:rPr>
                <w:sz w:val="15"/>
                <w:szCs w:val="15"/>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Aiyar</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2022</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546,835</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Vineet Agarwal</w:t>
            </w:r>
          </w:p>
        </w:tc>
        <w:tc>
          <w:tcPr>
            <w:tcW w:w="90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404,250</w:t>
            </w:r>
          </w:p>
        </w:tc>
        <w:tc>
          <w:tcPr>
            <w:tcW w:w="92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88,676</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127,339</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8,743</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629,008</w:t>
            </w: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53"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 awards granted to Legacy Korro’s NEOs during 2022, calculated in accordance with FASB ASC Topic 718. Such grant date fair values do not take into account any estimated forfeitures. The assumptions used in calculating the grant date fair value of the stock option awards reported in this column are set forth in note 11 of Legacy Korro’s financial statements included elsewhere in this prospectus. The amounts reported in this column reflect the accounting cost for these stock option awards and do not correspond to the actual economic value that may be received by Legacy Korro’s NEOs upon the exercise of the stock option awards or any sale of the underlying shares of Legacy Korro common stock.</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Legacy Korro’ matching contributions to the NEO’s 401(k) account.</w:t>
      </w:r>
    </w:p>
    <w:p>
      <w:pPr>
        <w:spacing w:after="0" w:line="311" w:lineRule="exact"/>
        <w:rPr>
          <w:sz w:val="20"/>
          <w:szCs w:val="20"/>
          <w:color w:val="auto"/>
        </w:rPr>
      </w:pPr>
    </w:p>
    <w:p>
      <w:pPr>
        <w:ind w:left="120"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Narrative Disclosure to the Legacy Korry 2022 Summary Compensation Table </w:t>
      </w:r>
      <w:r>
        <w:rPr>
          <w:rFonts w:ascii="Times New Roman" w:cs="Times New Roman" w:eastAsia="Times New Roman" w:hAnsi="Times New Roman"/>
          <w:sz w:val="18"/>
          <w:szCs w:val="18"/>
          <w:b w:val="1"/>
          <w:bCs w:val="1"/>
          <w:i w:val="1"/>
          <w:iCs w:val="1"/>
          <w:color w:val="auto"/>
        </w:rPr>
        <w:t>2022 Base Salaries</w:t>
      </w: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of the Legacy Korro’s NEOs’ base salary is a fixed component of annual compensation for performing specific duties and functions. Base salaries are adjusted from time to time to realign salaries with market levels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82"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after taking into account individual responsibilities, performance and experience. For the fiscal year ended December 31, 2022, the base salaries for Dr. Aiyar and Mr. Agarwal were $472,500 and $404,250,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Annual Bonuses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Dr. Aiyar and Mr. Agarwal were each eligible to earn an annual bonus based on Legacy Korro’s performance. For the year ended December 31, 2022, the target annual bonuses for Dr. Aiyar and Mr. Agarwal were equal to 40% and 35%, respectively, of their applicable annual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sz w:val="20"/>
          <w:szCs w:val="20"/>
          <w:color w:val="auto"/>
        </w:rPr>
      </w:pPr>
    </w:p>
    <w:p>
      <w:pPr>
        <w:jc w:val="both"/>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In January 2019 Legacy Korro’s board of directors adopted the Legacy Korro 2019 Plan. Although Legacy Korro did not have a formal policy with respect to the grant of equity incentive awards to Legacy Korro’s executive officers, Legacy Korro believes that equity awards provide Legacy Korro’s executive officers with a strong link to Legacy Korro’s long-term performance, create an ownership culture and help to align the interests of Legacy Korro’s executives and Legacy Korro’s stockholders. In addition, Legacy Korro believes that equity awards with a time-based vesting feature promote executive retention because this feature incentivizes Legacy Korro’s executive officers to remain in Legacy Korro’s employment during the applicable vesting period. Accordingly, Legacy Korro’s board of directors periodically reviews the equity incentive compensation of Legacy Korro’s NEOs and from time to time may grant equity incentive awards to them. In 2022, Legacy Korro granted options to its NEOs with the aggregate grant date fair values set forth in the Legacy Korro 2022 Summary Compensation Table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Legacy Korro generally does not provide perquisites to its employees, other than certain de minimis perquisites available to all employees, including the Legacy Korro NEOs.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Legacy Korro maintains its 401K Retirement Plan, a tax-qualified retirement plan that provides eligible employees, including the Legacy Korro NEOs, with an opportunity to save for retirement on a tax-advantaged basis. Plan participants are able to defer eligible compensation subject to applicable annual limits under the Code. Participants’ pre-tax or Roth contributions are allocated to each participant’s individual account and are then invested in selected investment alternatives according to the participants’ directions. Participants are immediately and fully vested in their contributions. Legacy Korro matches each participant’s contribution up to a maximum of 3% of their eligible compensation with participants vesting immediately and fully in such matching contributions. Legacy Korro’s 401(k) plan is intended to be qualified under Section 401(a) of the Code with its 401(k) plan’s related trust intended to be tax exempt under Section 501(a) of the Code.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Legacy Korro’s NEOs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entered into new agreements with Legacy Korro’s NEOs following the Merger, which are further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for Our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Prior to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Ram Aiyar</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October 13, 2020, Legacy Korro entered into an offer letter with Ram Aiyar, or the Aiyar Offer Letter, in connection with his appointment as Chief Executive Officer of Legacy Korro. The Aiyar Offer Letter set forth his initial annual base salary of $450,000, initial target bonus opportunity equal to 40% of base salary, his initial equity grant, and his eligibility to participate in Legacy Korro’s employee benefit plans generally.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82"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Aiyar Offer Letter provided that in the event that Dr. Aiyar’s employment was terminated by Legacy Korro without “cause” or by him for “good reason” (as such terms are defined in the Aiyar Offer Letter), in either case within three months before or 12 months following a change in control, subject to Dr. Aiyar’s signing and complying with a separation agreement and release, Dr. Aiyar would have been entitled to the following severance benefits: (i) a lump sum cash payment equal to sum of (x) 12 months of his then-current base salary (or the base salary in effect immediately prior to the change in control, if higher), plus (y) 100% of Dr. Aiyar’s target annual bonus for the year of termination, without regard to whether the metrics had been established or achieved for such year; (ii) if Dr. Aiyar elected COBRA health continuation, a monthly payment to the group health plan provider or the COBRA provider for up to 12 months, and (iii) 100% of all equity awards held by Dr. Aiyar would have immediately accelerated in vesting and become fully exercisable or non-forfeitable.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Dr. Aiyar’s employment was terminated by Legacy Korro without “cause” or by him for “good reason”, in either case outside his change in control period, subject to Dr. Aiyar’s signing and complying with a separation agreement and release, Dr. Aiyar would have been entitled to the severance benefits as described in the preceding paragraph, payable in substantially equal installments over a 12-month period, provided that Dr. Aiyar would not have been entitled to any acceleration of vesting of his equity awards and the target annual bonus described above would have been prorated based on the date of termination.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Vineet Agarwal</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March 12, 2021, Legacy Korro entered into an employment agreement with Vineet Agarwal, or the Agarwal Employment Agreement, in connection with is appointment as Legacy Korro’s Chief Financial Officer. The Agarwal Employment Agreement set forth his initial annual base salary of $385,000, initial target bonus opportunity equal to 35% of base salary, initial equity grant, and his eligibility to participate in Legacy Korro’s employee benefit plans generally.</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Agarwal Employment Agreement provided that in the event that Mr. Agarwal’s employment was terminated by Legacy Korro without “cause” or by him for “good reason” (as such terms were defined in the Agarwal Employment Agreement), in either case within 12 months following a change in control, subject to Mr. Agarwal’s signing and complying with a separation agreement and release, Mr. Agarwal would have been entitled to the following severance benefits: (i) a lump sum cash payment equal to sum of (x) nine months of his then-current base salary (or the base salary in effect immediately prior to the change in control, if higher), plus (y) 100% of Mr. Agarwal’s target annual bonus for the year of termination, without regard to whether the metrics had been established or achieved for such year; (ii) if Mr. Agarwal elected COBRA health continuation, a monthly payment to the group health plan provider or the COBRA provider for up to nine months, and (iii) 100% of all equity awards subject to time-based vesting held by Mr. Agarwal would have immediately accelerated in vesting and become fully exercisable or non-forfeitable.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Mr. Agarwal’s employment was terminated by Legacy Korro without “cause” or by him for “good reason”, in each case outside his change in control period, subject to Mr. Agarwal’s signing and complying with a separation agreement and release, Mr. Agarwal would have been entitled to the severance benefits as described in the preceding paragraph, payable in substantially equal installments over a nine-month period, provided that Mr. Agarwal would not have been entitled to any acceleration of vesting of his equity awards and the target annual bonus described above would have been prorated based on the date of termination.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Following the Merger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Post-closing, we entered into new employment agreements with our executive officers, the terms of which are described below.</w:t>
      </w:r>
    </w:p>
    <w:p>
      <w:pPr>
        <w:spacing w:after="0" w:line="22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November 10, 2023, we entered into a new employment agreement with Ram Aiyar, Ph.D., our President and Chief Executive Officer and principal executive officer, and on November 8, 2023, we entered into a new employment agreement with Vineet Agarwal, our Treasurer and Chief Financial Officer and principal financial officer and principal accounting officer.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82"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new employment agreements provide for substantially the same compensation as each officer’s respective prior offer letters. As previously disclosed in our proxy statement/prospectus dated September 29, 2023 and filed with the Securities and Exchange Commission, or SEC, pursuant to Rule 424(b), we entered into the new employment agreements with each of Mr. Agarwal and Dr. Aiyar, along with our other executive officers, to provide enhanced severance pay and benefits in the event the executive’s employment is terminated by us without cause or the executive resigns for good reason, in each case, within the change in control period, as defined in such new employment agreements.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Dr. Aiyar’s new employment agreement, he has an initial annual base salary of $498,487, an initial target bonus opportunity equal to 45% of his base salary and continues to remain eligible for equity grants under our equity incentive plans, and continues to be eligible to participate in our employee benefit plans generally. Under Mr. Agarwal’s new employment agreement, he has an initial annual base salary of $426,483, an initial target bonus opportunity equal to 35% of his base salary and continues to remain eligible for equity grants under our equity incentive plans, and continues to be eligible to participate in our employee benefit plans generally.</w:t>
      </w:r>
    </w:p>
    <w:p>
      <w:pPr>
        <w:spacing w:after="0" w:line="183"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new employment agreements provide that in the event the executive is terminated without “cause” or he resigns for “good reason” (as such terms are defined therein), in each case, outside of the change in control period (which runs from the three months prior to 12 months following a change in control, as “change in control” is defined in the therein), in each cash subject to signing and complying with a separation agreement and release, then the executive will be entitled to the following severance benefits: for Dr. Aiyar, (i) 12 months of his then-current base, plus (ii) a pro rata target bonus for the year of termination, without regard to whether the metrics have been established or achieved for such year, and (iii) up to 12 months of COBRA health coverage; and for Mr. Agarwal, (i) nine months of his then-current base, plus (ii) a pro rata target bonus for the year of termination, without regard to whether the metrics have been established or achieved for such year, and (iii) up to nine months of COBRA health coverage.</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new employment agreements provide enhanced severance pay and benefits in the event the executive’s employment is terminated by us without cause or the executive resigns for good reason, in each case, within the change in control period. Such enhanced severance pay and benefits consist of (i) a lump sum cash payment equal to the sum of (A) 12 months (18 months for Dr. Aiyar) of the executive’s then-current base salary (or the base salary in effect immediately prior to the change in control, if higher) plus (B) 1.0 times (1.5 times for Dr. Aiyar) the executive’s target annual bonus for the then current year, without regard to whether the metrics have been established or achieved for such year, (ii) up to 12 months (18 months for Dr. Aiyar) of COBRA health coverage, and (iii) accelerated vesting of the then-outstanding and unvested portion of the executive’s stock options and other stock-based awards that are subject solely to time-based vesting (and, for Dr. Aiyar, any stock options and other stock-based awards that were granted to him prior to the effective date of his new employment agreement and that are subject to performance-based vesting). The severance pay and benefits described in this paragraph are subject to the executive’s delivery of and compliance with a fully effective release of claims.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payments and benefits to be provided under the new employment agreements in connection with a change in control may not be eligible for federal income tax deduction for us pursuant to Section 280G of the Code. These payments and benefits may also be subject to an excise tax under Section 4999 of the Code. If the payments or benefits payable to the executive in connection with a change in control would be subject to the excise tax imposed under Section 4999 of the Code, then those payments or benefits will be reduced if such reduction would result in a higher net after-tax benefit to him.</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of Dr. Aiyar and Mr. Agarwal will continue to be subject to standard confidentiality and nondisclosure, assignment of intellectual property work product and post-termination nonsolicitation of employees, consultants and independent contractors covenants.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82"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the Legacy Korro NEOs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Share amounts (and price per share) have not been adjusted to reflect the exchange for shares of our common stock in the Merger.</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continue"/>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Aiyar</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74"/>
              </w:rPr>
              <w:t>11/2/2020(2)</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1,428,018</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1,313,777</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12/1/2030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1/27/2022(2)</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740,000</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1/26/2032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Vineet Agarwal</w:t>
            </w:r>
          </w:p>
        </w:tc>
        <w:tc>
          <w:tcPr>
            <w:tcW w:w="1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5/11/2021(2)</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325,588</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496,951</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0.58</w:t>
            </w: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5/29/2031</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1/27/2022(2)</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120,000</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1/26/2032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equity award is subject to the terms of the Korro Bio 2019 Plan.</w:t>
      </w:r>
    </w:p>
    <w:p>
      <w:pPr>
        <w:spacing w:after="0" w:line="27" w:lineRule="exact"/>
        <w:rPr>
          <w:rFonts w:ascii="Times New Roman" w:cs="Times New Roman" w:eastAsia="Times New Roman" w:hAnsi="Times New Roman"/>
          <w:sz w:val="18"/>
          <w:szCs w:val="18"/>
          <w:color w:val="auto"/>
        </w:rPr>
      </w:pPr>
    </w:p>
    <w:p>
      <w:pPr>
        <w:ind w:left="540" w:right="140" w:hanging="424"/>
        <w:spacing w:after="0" w:line="253"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shares subject to the stock option vest on the first anniversary of the vesting commencement date, and 1/48 of the shares subject to the stock option vest each month thereafter, in each case, subject to a continuous service relationship through each applicable vesting date. The stock option is also subject to certain acceleration of vesting provisions as provided in the applicable NEO’s offer letter or employment agreement, as applicable.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 and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Stock Option and Incentive Plan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2023 Plan allows us to make equity and equity-based incentive awards to officers, employees, directors and consultants. We anticipate that providing such persons with a direct stake in our company will assure a closer alignment of the interests of such individuals with ours and our stockholders, thereby stimulating their efforts on our behalf and strengthening their desire to remain with us.</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that may be issued under the 2023 Plan is 885,028 shares (which takes into account the 1-for-50 reverse stock split of Frequency’s common stock effected immediately prior to the Merger), or the Initial Limit. The 2023 Plan provides that the number of shares reserved and available for issuance under the 2023 Plan will automatically increase each January 1, beginning on January 1, 2024, by 5% of the outstanding number of shares on the immediately preceding December 31, or such lesser amount as determined by the plan administrator, or the Annual Increase. This limit is subject to adjustment in the event of a reorganization, recapitalization, reclassification, stock split, stock dividend, reverse stock split or other similar change in our capitalization. The maximum aggregate number of shares that may be issued upon exercise of incentive stock options under the 2023 Plan shall not exceed the Initial Limit cumulatively increased on January 1, 2024 and on each January 1 thereafter by the lesser of the Annual Increase or 885,028 shares (which takes into account the 1-for-50 reverse stock split of Frequency’s common stock effected immediately prior to the Merger). Shares underlying any awards under the 2023 Plan and the shares underlying awards under the Korro Bio 2019 Plan that are forfeited, canceled, held back upon exercise of an option or settlement of an award to cover the exercise price or tax withholding, reacquired by us prior to vesting, satisfied without the issuance of stock or otherwise terminated (other than by exercise) shall be added back to the shares available for issuance under the 2023 Plan and, to the extent permitted under Section 422 of the Code and the regulations promulgated thereunder, the shares that may be issued as incentive stock options. Awards that may be settled solely in cash will not be counted against the shares available for issuance under the 2023 Plan and will not reduce the shares authorized for grant to a grantee in any calendar year.</w:t>
      </w:r>
    </w:p>
    <w:p>
      <w:pPr>
        <w:spacing w:after="0" w:line="197"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The 2023 Plan contains a limitation whereby the value of all awards under the 2023 Plan and all other cash compensation paid to any non-employee director for services as a non-employee director may not exceed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82"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$750,000 in any calendar year; provided, however, that such amount will be $1,000,000 for the first calendar year a non-employee director is initially appointed to our board of directors.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2023 Plan will be administered by our board of directors, the compensation committee of our board of directors or such other similar committee pursuant to the terms of the 2023 Plan. The plan administrator, which initially will be the compensation committee of our board of directors, will have full power to select, from among the individuals eligible for awards, the individuals to whom awards will be granted, to make any combination of awards to participants, and to determine the specific terms and conditions of each award, subject to the provisions of the 2023 Plan. The plan administrator may delegate to a committee consisting of one or more officers the authority to grant stock options and other awards to employees who are not subject to the reporting and other provisions of Section 16 of the Exchange Act and not members of the delegated committee, subject to certain limitations and guidelines. Persons eligible to participate in the 2023 Plan will be our officers, employees, non-employee directors and consultants as selected from time to time by the plan administrator in its discretion.</w:t>
      </w:r>
    </w:p>
    <w:p>
      <w:pPr>
        <w:spacing w:after="0" w:line="192" w:lineRule="exact"/>
        <w:rPr>
          <w:sz w:val="20"/>
          <w:szCs w:val="20"/>
          <w:color w:val="auto"/>
        </w:rPr>
      </w:pPr>
    </w:p>
    <w:p>
      <w:pPr>
        <w:jc w:val="both"/>
        <w:ind w:left="120" w:right="400" w:firstLine="440"/>
        <w:spacing w:after="0" w:line="272" w:lineRule="auto"/>
        <w:rPr>
          <w:sz w:val="20"/>
          <w:szCs w:val="20"/>
          <w:color w:val="auto"/>
        </w:rPr>
      </w:pPr>
      <w:r>
        <w:rPr>
          <w:rFonts w:ascii="Times New Roman" w:cs="Times New Roman" w:eastAsia="Times New Roman" w:hAnsi="Times New Roman"/>
          <w:sz w:val="17"/>
          <w:szCs w:val="17"/>
          <w:color w:val="auto"/>
        </w:rPr>
        <w:t>The 2023 Plan permits the granting of both options to purchase shares intended to qualify as incentive stock options under Section 422 of the Code and options that do not so qualify. Options granted under the 2023 Plan will be non-qualified options if they fail to qualify as incentive stock options or exceed the annual limit on incentive stock options. Incentive stock options may only be granted to our employees and our subsidiaries.</w:t>
      </w:r>
    </w:p>
    <w:p>
      <w:pPr>
        <w:spacing w:after="0" w:line="2"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Non-qualified options may be granted to any persons eligible to receive awards under the 2023 Plan. The option exercise price of each option will be determined by the plan administrator but generally may not be less than 100% of the fair market value of our share on the date of grant or, in the case of an incentive stock option granted to a 10% stockholder, 110% of such share’s fair market value. The term of each option will be fixed by the plan administrator and may not exceed ten years from the date of grant or, in the case of an incentive stock option granted to a 10% stockholder, five years from the date of grant. The plan administrator will determine at what time or times each option will vest and may be exercised, including the ability to accelerate the vesting of such options.</w:t>
      </w:r>
    </w:p>
    <w:p>
      <w:pPr>
        <w:spacing w:after="0" w:line="19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plan administrator or by delivery (or attestation to the ownership) of shares that are beneficially owned by the optionee free of restrictions or were purchased in the open market. Subject to applicable law, the exercise price may also be delivered by a broker pursuant to irrevocable instructions to the broker from the optionee. In addition, the plan administrator may permit non-qualified options to be exercised using a “net exercise” arrangement that reduces the number of shares issued to the optionee by the largest whole number of shares with fair market value that does not exceed the aggregate exercise price.</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award stock appreciation rights subject to such conditions and restrictions as it may determine. Stock appreciation rights entitle the recipient to shares or cash, equal to the value of the appreciation in our stock price over the exercise price. The exercise price generally may not be less than 100% of the fair market value of our share on the date of grant. The term of each stock appreciation right will be fixed by the plan administrator and may not exceed ten years from the date of grant. The plan administrator will determine at what time or times each stock appreciation right will vest and may be exercised, including the ability to accelerate the vesting of such stock appreciation right.</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may award restricted shares and restricted stock units to participants subject to such conditions and restrictions as it may determine. These conditions and restrictions may include the achievement of certain performance goals and/or continued employment with us through a specified vesting period. The plan administrator may also grant shares that are free from any restrictions under the 2023 Plan. Unrestricted stock may be granted to participants in recognition of past services or for other valid consideration and may be issued in lieu of cash compensation due to such participant. The plan administrator may grant dividend equivalent rights to participants that entitle the recipient to receive credits for dividends that would be paid if the recipient had held a specified number of shares.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may grant cash-based awards under the 2023 Plan to participants.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82"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2023 Plan requires the plan administrator to make appropriate adjustments to the number of shares of common stock that are subject to the 2023 Plan, to certain limits in the 2023 Plan, and to any outstanding awards to reflect stock dividends, stock splits, extraordinary cash dividends and similar events.</w:t>
      </w:r>
    </w:p>
    <w:p>
      <w:pPr>
        <w:spacing w:after="0" w:line="176"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2023 Plan provides that upon the effectiveness of a “sale event,” as defined in the 2023 Plan, an acquirer or successor entity may assume, continue or substitute for the outstanding awards under the 2023 Plan. To the extent that awards granted under the 2023 Plan are not assumed or continued or substituted by the successor entity, all awards granted under the 2023 Plan shall terminate and in such case, except as may be otherwise provided in the relevant award agreement, all stock options and stock appreciation rights with time-based vesting conditions or restrictions that are not vested and/or exercisable immediately prior to the effective time of the sale event and held by grantees who have had a continuous service relationship with us for at least one year prior to the effective time of the sale event shall become fully vested and exercisable as of the effective time of the sale event, all other awards with time-based vesting conditions or restrictions shall, if held by grantees who have had a continuous service relationship with us for at least one year prior to the effective time of the sale event, become fully vested and nonforfeitable as of the effective time of the sale event, and all awards with conditions and restrictions relating to the attainment of performance goals may become vested and nonforfeitable in connection with a sale event in the plan administrator’s discretion or to the extent specified in the relevant award agreement. In the event of such termination, individuals holding options and stock appreciation rights will, for each such award, either (a) receive a payment in cash or in kind for each share subject to such award that is exercisable in an amount equal to the per share cash consideration payable to stockholders in the sale event less the applicable per share exercise price (provided that, in the case of an option or stock appreciation right with an exercise price equal to or greater than the per share cash consideration payable to stockholders in the sale event, such option or stock appreciation right shall be cancelled for no consideration) or (b) be permitted to exercise such options and stock appreciation rights (to the extent exercisable) within a specified period of time prior to the sale event. The plan administrator shall also have the option (in its sole discretion) to make or provide for a payment, in cash or in kind, to the grantees holding other awards in an amount equal to the per share cash consideration payable to stockholders in the sale event multiplied by the number of vested shares under such awards.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Participants in the 2023 Plan are responsible for the payment of any federal, state or local taxes that we are required by law to withhold upon the exercise of options or stock appreciation rights or vesting of other awards. The plan administrator may cause any of our tax withholding obligation to be satisfied, in whole or in part, by us withholding from shares to be issued pursuant to an award a number of shares with an aggregate fair market value that would satisfy the withholding amount due. The plan administrator may also require any of our tax withholding obligation to be satisfied, in whole or in part, by an arrangement whereby a certain number of shares issued pursuant to any award are immediately sold and proceeds from such sale are remitted to us in an amount that would satisfy the withholding amount due.</w:t>
      </w:r>
    </w:p>
    <w:p>
      <w:pPr>
        <w:spacing w:after="0" w:line="187"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2023 Plan generally does not allow for the transfer or assignment of awards, other than by will or by the laws of descent and distribution or pursuant to a domestic relations order; however, the plan administrator may permit the transfer of non-qualified stock options by gift to an immediate family member, to trusts for the benefit of family members, or to partnerships in which such family members are the only partners. All awards will be subject to any clawback policy as set forth in such clawback policy or the applicable award agreement.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amend or discontinue the 2023 Plan and the plan administrator may amend or cancel outstanding awards for purposes of satisfying changes in law or any other lawful purpose, but no such action may materially and adversely affect rights under an award without the holder’s consent. The plan administrator may not reduce the exercise price of outstanding options or stock appreciation rights, effect the repricing of such awards through cancellation and re-grants or cancel such awards in exchange for cash or other awards without prior stockholder approval. Certain amendments to the 2023 Plan require the approval of our stockholders.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awards may be granted under the 2023 Plan after the date that is ten years from the Effective Time.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82"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Korro Plan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Upon closing of the Merger, we assumed the Legacy Korro 2019 Stock Incentive Plan, or the Legacy Korro Plan, and each outstanding and unexercised option to purchase Legacy Korro shares at such time, each of which converted into an option to purchase shares of our common stock, with necessary adjustments to the number of shares and exercise price to reflect the exchange ratio. In addition, upon the closing of the Merger, we assumed each outstanding and unexercised warrant to purchase Legacy Korro shares at such time, each of which converted into a warrant to purchase shares of our common stock, with necessary adjustments to the number of shares and exercise price to reflect the Exchange. We do not plan to grant any additional awards under the Korro Bio 2019 Plan.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Legacy Korro Plan, Legacy Korro reserved for issuance an aggregate of 15,048,960 shares (which does not take into account any adjustments for the exchange ratio or the 1-for-50 reverse stock split of Frequency’s common stock effected immediately prior to the Merger) of Legacy Korro common stock. The number of shares of Legacy Korro common stock reserved for issuance was subject to adjustment in the event of a stock dividend, stock split or combination of shares, recapitalization or other similar change affecting the outstanding Legacy Korro common stock and no more than 15,048,960 shares (which does not take into account any adjustments for the exchange ratio or the 1-for-50 reverse stock split of Frequency’s common stock effected immediately prior to the Merger) may be issued pursuant to incentive stock options.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Legacy Korro Plan is administered by our board of directors or a committee appointed by us, referred to herein as the plan administrator. The plan administrator has full power to, among other things, select, from among the individuals eligible for awards, the individuals to whom awards will be granted, to accelerate the time at which our stock award may be exercised or vest, to amend the Legacy Korro Plan Plan and to determine the specific terms and conditions of each award, subject to the provisions of the Legacy Korro Plan.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plan administrator may, with consent of affected option holders, effect repricing through cancellation of outstanding stock options and by granting such holders new awards in replacement of the cancelled options in accordance with the terms of the Legacy Korro Plan.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Stock options may be granted under the Legacy Korro Plan. The exercise price per share of all stock options must equal at least 100% of the fair market value per share of our common stock on the date of grant. The term of a stock option may not exceed ten years. An incentive stock option granted to a participant who owns more than 10% of the total combined voting power of all classes of Legacy Korro capital stock on the date of grant, or any parent or subsidiary corporations, may not have a term in excess of five years and must have an exercise price of at least 110% of the fair market value per share of Legacy Korro common stock on the date of grant. The plan administrator will determine the methods of payment of the exercise price of an option, which may include cash, shares or certain other property or other consideration acceptable to the plan administrator. After a participant’s termination of service, the participant generally may exercise their stock options, to the extent vested as of such date of termination, during a period of three months after termination of service. If a termination of service is due to death or disability, the option generally will remain exercisable, to the extent vested as of such date of termination, until the one-year anniversary of such termination of service. However, in no event may an option be exercised later than the expiration of its term. If a termination of service is for misconduct (as defined in an applicable award agreement), the stock option automatically expires upon the date of the termination of service.</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Stock awards may be granted under the Legacy Korro Plan. A stock award may be vested upon grant or may vest in one or more installments. The plan administrator determines the terms and conditions of stock awards, including the number of our common stock shares granted, the vesting criteria (which may include specified performance criteria and/or continued service to us) and the form of consideration payable for the shares (including cash, services, or any other valid consideration under Delaware law).</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Restricted stock units may be granted under the Legacy Korro 2019 Plan. A restricted stock unit is an award that covers a number of shares of our common stock that will be settled upon vesting by the issuance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82"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underlying shares. The plan administrator determines the terms and conditions of restricted stock units, including the number of units granted, the vesting criteria (which may include specified performance criteria and/or continued service to us) and the form and timing of payment.</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Legacy Korro Plan generally does not allow for the transfer or assignment of awards, other than at the discretion of the plan administrator, by gift to an immediate family member or to trusts for the benefit of family members.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the exercise prices of and the number of shares subject to outstanding awards, and the purchase price of and the numbers of shares subject to outstanding awards will be proportionately adjusted, subject to any required action by our board of directors or stockholders.</w:t>
      </w:r>
    </w:p>
    <w:p>
      <w:pPr>
        <w:spacing w:after="0" w:line="17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Legacy Korro Plan provides that upon the effectiveness of a “change in control,” as defined in the Legacy Korro Plan, the plan administrator may provide (i) that an acquirer or successor entity may assume, continue or substitute for the outstanding awards under the Legacy Korro Plan, (ii) all awards may be continued in full force and effect pursuant to the terms of the transaction, or (iii) that awards be replaced with a cash retention program of the acquiror that preserves the spread existing on the unvested shares subject to an award at the time of the transaction. To the extent that awards granted under the Legacy Korro Plan are not assumed or continued or substituted by acquirer or the successor entity, all stock options and all other awards granted under the Legacy Korro Plan shall automatically vest in full. In connection with the accelerated vesting of awards under the Legacy Korro Plan upon a change in control, we may make or provide for a cash payment equal to (A) in the case of options, the difference between (1) the fair market value of a share of our common stock (as determined by the plan administrator) times the number of shares subject to the options being cancelled and (2) the aggregate exercise price of the options and (B) in the case of restricted stock and restricted stock unit awards, the fair market value of a share of our common stock multiplied by the number of shares of stock subject to such stock awards (payable at the time of the change in control or upon any escrow, holdback or earn-out provided for in the definitive agreement effecting the change in control, as determined by the plan administrator).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 aggregate of 88,502 shares (which takes into account the 1-for-50 reverse stock split of Frequency’s common stock effected immediately prior to the Merger), or the Initial Reserve, is reserved and available for issuance under the 2023 ESPP. The 2023 ESPP provides that the number of shares reserved and available for issuance under the plan will automatically increase each January 1, beginning on January 1, 2024, by the lesser of a number of shares equal to the Initial Reserve, 1% of the outstanding number of shares on the immediately preceding December 31, or such lesser amount as determined by the plan administrator. If the combined company’s capital structure changes because of a stock dividend, stock split or similar event, the number of shares that can be issued under the 2023 ESPP will be appropriately adjusted.</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2023 ESPP is administered by the person or persons appointed by our board of directors. Initially, the compensation committee of our board of directors will administer the plan and has full authority to make, administer and interpret such rules and regulations regarding the 2023 ESPP as it deems advisable.</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employee or one of our subsidiaries that has been designated to participate in the 2023 ESPP is eligible to participate in the 2023 ESPP so long as the employee is customarily employed for more than 20 hours a week. No person who owns or holds, or as a result of participation in the 2023 ESPP would own or hold, shares or options to purchase shares, that together equal to 5% or more of total combined voting power or value of all classes of our stock or any parent or subsidiary is entitled to participate in the 2023 ESPP. No employee may exercise an option granted under the 2023 ESPP that permits the employee to purchase shares having a value of more than $25,000 (determined using the fair market value of the stock at the time such option is granted) in any calendar year.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82"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Participation in the 2023 ESPP is limited to eligible employees who authorize payroll deductions equal to a whole percentage of base pay to the 2023 ESPP. Employees may authorize payroll deductions, with a minimum of 1% of base pay and a maximum of 15% of base pay.</w:t>
      </w:r>
    </w:p>
    <w:p>
      <w:pPr>
        <w:spacing w:after="0" w:line="162"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Once an employee becomes a participant in the 2023 ESPP, that employee will automatically participate in successive offering periods, as described below, until such time as that employee withdraws from the 2023 ESPP, becomes ineligible to participate in the 2023 ESPP, or his or her employment ceases.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make one or more offerings under the 2023 ESPP, consisting of one or more purchase periods, for employees to purchase shares under the 2023 ESPP, which is referred to as an “offering period.” The plan administrator may, in its discretion, determine when each offering shall occur, including the duration of any offering period; provided, that no offering period will exceed 27 months in duration. Shares are purchased on the last day of each purchase period or if such purchase period is the last purchase period of the offering period, the last day of such offering period, with that day being referred to as an “exercise date.” Unless otherwise determined by the plan administrator, participants will only be permitted to participate in one offering at a time.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the first day of an offering period, employees participating in that offering period will be granted an option to purchase shares. On the exercise date of each purchase period, the employee is deemed to have exercised the option, at the exercise price, for the lowest of (i) a number of shares determined by dividing such employee’s accumulated payroll deductions or contributions on such exercise date by the exercise price; (ii) a number of shares determined by dividing $25,000 by the fair market value per share on the first day of the offering period; or (iii) such lesser number as established by the plan administrator in advance of the offering. The exercise price is equal to the lesser of (i) 85% the fair market value per share on the first day of the offering period or (ii) 85% of the fair market value per share on the exercise date. The maximum number of shares that may be issued to any employee under the 2023 ESPP in a calendar year is a number of shares determined by dividing $25,000, valued at the start of the offering period, or such other lesser number of shares as determined by the plan administrator from time to time.</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general, if an employee is no longer a participant on an exercise date, the employee’s option will be automatically terminated, and the amount of the employee’s accumulated payroll deductions will be refunded.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as may be permitted by the plan administrator in advance of an offering, a participant may not increase or decrease the amount of his or her payroll deductions during any offering period but may increase or decrease his or her payroll deduction with respect to the next offering period by filing a new enrollment form at least 15 business days before the first day of such offering period, or such other deadline established by the plan administrator. A participant may withdraw from an offering period at any time without affecting his or her eligibility to participate in future offering periods. If a participant withdraws from an offering period, that participant may not again participate in the same offering period, but may enroll in subsequent offering periods. An employee’s withdrawal will be effective as of the next business day following the date that the plan administrator receives the employee’s written notice of withdrawal under the 2023 ESPP.</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case of and subject to the consummation of a “sale event,” the plan administrator, in its discretion, and on such terms and conditions as it deems appropriate, is hereby authorized to take any one or more of the following actions under the 2023 ESPP or with respect to any right under the 2023 ESPP or to facilitate such transactions or events: (a)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plan administrator in its sole discretion; (b) to provide that the outstanding options under the 2023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(c) to make adjustments in the number and type of shares (or other securities or property) subject to outstanding options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82"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 the 2023 ESPP and/or in the terms and conditions of outstanding options and options that may be granted in the future; (d) to provide that the offering with respect to which an option relates will be shortened by setting a new exercise date on which such offering will end; and (e) to provide that all outstanding options shall terminate without being exercised and all amounts in the accounts of participants shall be promptly refunded.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2023 ESPP will automatically terminate on the 10-year anniversary of the Effective Time. Our board of directors may, in its discretion, at any time, terminate or amend the 2023 ESPP.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Cash Incentive Bonus Plan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a Senior Executive Cash Incentive Bonus Plan, or the Bonus Plan. The Bonus Plan became effective following completion of the Merger and provides for cash bonus payments based upon the attainment of performance targets established by our compensation committee. The performance targets may be related to financial and operational measures or objectives with respect to us and/or any of our subsidiaries, or corporate performance goals, as well as individual performance objectives.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compensation committee may select corporate performance goals from among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licenses,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customer satisfaction; working capital; earnings (loss) per share of our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(as applicable).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officer at the beginning of each performance period. The corporate performance goals will be measured at the end of each performance period. If the corporate performance goals and individual performance objectives are met, payments will be made as soon as practicable following the end of each performance period, but no later than two and one-half months after the end of the fiscal year in which such performance period ends, unless otherwise determined by the compensation committee. Subject to the rights contained in any agreement between the executive officer and us or unless otherwise determined by the compensation committee, an executive officer must be employed by us on the bonus payment date to be eligible to receive a bonus payment. The Bonus Plan will also permit the compensation committee to approve additional bonuses to executive officers in its sole discretion.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82"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EXECUTIVE AND DIRECTOR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Frequency’s executive officers who are named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Frequency 2022 Summary Compensation Table below. In 2022, Frequency’s “named executive officers” and their positions were:</w:t>
      </w:r>
    </w:p>
    <w:p>
      <w:pPr>
        <w:spacing w:after="0" w:line="112" w:lineRule="exact"/>
        <w:rPr>
          <w:sz w:val="20"/>
          <w:szCs w:val="20"/>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L. Lucchino,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P. LeBel, Former Chief Development Officer;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R. Loose, Former Chief Scientific Officer.</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Dr. LeBel ceased to be an employee in March 2023 and Dr. Loose ceased to be an employee in July 2023, and Mr. Lucchino ceased to be an employee effective upon the Merger in November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Summary Compensation Table - Frequency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Lucchino</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630,000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1,209,000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927,028</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378,000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600,000</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4,883,032</w:t>
            </w: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324,000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14,500</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5,821,532</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Carl P. LeBel</w:t>
            </w:r>
          </w:p>
        </w:tc>
        <w:tc>
          <w:tcPr>
            <w:tcW w:w="90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480,344</w:t>
            </w:r>
          </w:p>
        </w:tc>
        <w:tc>
          <w:tcPr>
            <w:tcW w:w="10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604,500</w:t>
            </w:r>
          </w:p>
        </w:tc>
        <w:tc>
          <w:tcPr>
            <w:tcW w:w="10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254,472</w:t>
            </w:r>
          </w:p>
        </w:tc>
        <w:tc>
          <w:tcPr>
            <w:tcW w:w="116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192,138</w:t>
            </w:r>
          </w:p>
        </w:tc>
        <w:tc>
          <w:tcPr>
            <w:tcW w:w="11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15,250</w:t>
            </w:r>
          </w:p>
        </w:tc>
        <w:tc>
          <w:tcPr>
            <w:tcW w:w="9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1,546,704</w:t>
            </w:r>
          </w:p>
        </w:tc>
        <w:tc>
          <w:tcPr>
            <w:tcW w:w="0" w:type="dxa"/>
            <w:vAlign w:val="bottom"/>
          </w:tcPr>
          <w:p>
            <w:pPr>
              <w:spacing w:after="0"/>
              <w:rPr>
                <w:sz w:val="1"/>
                <w:szCs w:val="1"/>
                <w:color w:val="auto"/>
              </w:rPr>
            </w:pPr>
          </w:p>
        </w:tc>
      </w:tr>
      <w:tr>
        <w:trPr>
          <w:trHeight w:val="234"/>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Former Chief Development Officer</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461,869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286,200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1,831,138</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157,035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14,500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2,750,743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R. Loose</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Former Chief Scientific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480,344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604,500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226,580</w:t>
            </w: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192,138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15,250</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1,518,812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jc w:val="both"/>
        <w:ind w:left="540" w:right="80" w:hanging="424"/>
        <w:spacing w:after="0" w:line="254"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full grant date value of Frequency Restricted Stock Units issued during the given year, computed in accordance with ASC Topic 718, rather than the amounts paid to or realized by the named individual. With respect to the Frequency Performance Stock Units, the grant date fair value is reported based on the probable outcome of the performance conditions as of the grant date, which is $0. The maximum potential value as of the grant date of the Frequency Performance Stock Units is $420,000 for Mr. Lucchino and $280,000 for Drs. LeBel and Loose. These amounts do not reflect the extent to which the named executive officer realized or will realize an actual financial benefit from the awards.</w:t>
      </w:r>
    </w:p>
    <w:p>
      <w:pPr>
        <w:spacing w:after="0" w:line="3" w:lineRule="exact"/>
        <w:rPr>
          <w:rFonts w:ascii="Times New Roman" w:cs="Times New Roman" w:eastAsia="Times New Roman" w:hAnsi="Times New Roman"/>
          <w:sz w:val="18"/>
          <w:szCs w:val="18"/>
          <w:color w:val="auto"/>
        </w:rPr>
      </w:pPr>
    </w:p>
    <w:p>
      <w:pPr>
        <w:ind w:left="540" w:right="120" w:hanging="424"/>
        <w:spacing w:after="0" w:line="265" w:lineRule="auto"/>
        <w:tabs>
          <w:tab w:leader="none" w:pos="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incremental fair value expensed in connection with the repricing of Frequency Options held by the named individual that was approved in August 2022, computed in accordance with ASC Topic 718, rather than the amounts paid to or realized by the named individual.</w:t>
      </w:r>
    </w:p>
    <w:p>
      <w:pPr>
        <w:ind w:left="540" w:right="24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incentive compensation awarded in recognition of individual and company performance under Frequency’s annual incentive compensation program. Refer to “</w:t>
      </w:r>
      <w:r>
        <w:rPr>
          <w:rFonts w:ascii="Times New Roman" w:cs="Times New Roman" w:eastAsia="Times New Roman" w:hAnsi="Times New Roman"/>
          <w:sz w:val="18"/>
          <w:szCs w:val="18"/>
          <w:i w:val="1"/>
          <w:iCs w:val="1"/>
          <w:color w:val="auto"/>
        </w:rPr>
        <w:t>2022 Bonuses</w:t>
      </w:r>
      <w:r>
        <w:rPr>
          <w:rFonts w:ascii="Times New Roman" w:cs="Times New Roman" w:eastAsia="Times New Roman" w:hAnsi="Times New Roman"/>
          <w:sz w:val="18"/>
          <w:szCs w:val="18"/>
          <w:color w:val="auto"/>
        </w:rPr>
        <w:t>” below for additional information regarding 2022 awards.</w:t>
      </w: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employer contributions to Frequency’s 401(k) plan for each of Frequency’s named executive officers.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Frequency 2022 Summary Compensation Table</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Frequency’s executive compensation program is designed to align compensation with business objectives and the creation of stockholder value, while also enabling Frequency to attract, motivate and retain individuals who contribute to its long-term success. For 2022, the compensation of Frequency’s named executive officers primarily consisted of a base salary, an annual cash incentive bonus opportunity, equity compensation in the form</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312" w:lineRule="auto"/>
        <w:rPr>
          <w:sz w:val="20"/>
          <w:szCs w:val="20"/>
          <w:color w:val="auto"/>
        </w:rPr>
      </w:pPr>
      <w:r>
        <w:rPr>
          <w:rFonts w:ascii="Times New Roman" w:cs="Times New Roman" w:eastAsia="Times New Roman" w:hAnsi="Times New Roman"/>
          <w:sz w:val="17"/>
          <w:szCs w:val="17"/>
          <w:color w:val="auto"/>
        </w:rPr>
        <w:t>of Frequency Restricted Stock Units, and health and welfare benefits. Pursuant to their employment agreements, during 2022, Frequency’s named executive officers were also eligible to receive certain payments and benefits upon a termination of employment under certain circumstances.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Salaries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of the named executive officers receives a base salary to provide a fixed component of compensation intended to reflect the executive’s skill set, experience, role and responsibilities. Annual base salaries are reviewed periodically by the compensation committee and the Frequency board of directors. Effective January 1, 2022, the compensation committee approved an increase in the base salary for Mr. Lucchino from $600,000 to $630,000, for Dr. LeBel from $461,869 to $480,344, and for Dr. Loose from $461,869 to $480,344.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Bonuses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Frequency offers its named executive officers the opportunity to earn annual performance bonuses to compensate them for attaining short-term company and individual goals established by the Frequency board of directors. Each named executive officer has an established target annual performance bonus amount, expressed as a percentage of the named executive officer’s annual base salary. The target bonus amounts for Mr. Lucchino, Dr. LeBel, and Dr. Loose in 2022 were 60%, 40%, and 40%, respectively.</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January 2023, the compensation committee evaluated the current named executive officers’ performance against the relevant bonus goals and approved the amounts earned by Frequency’s named executive officers under Frequency’s annual bonus program for 2022 and included above in the 2022 Summary Compensation Table. Mr. Lucchino, Dr. LeBel, and Dr. Loose met their target bonus, earning amounts based on the performance of Frequency in 2022, as determined by the compensation committee. Specifically, the compensation committee considered, among other things, Frequency’s completion of enrollment in a Phase 2b study of FX-322, initiation of a Phase 1b study of FX-345, and progress in the preclinical program for remyelination in multiple sclerosis.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Although Frequency’s does not have a formal policy with respect to the grant of equity incentive awards to its executive officers, including Frequency’s named executive officers, or any formal equity ownership guidelines applicable to them, Frequency believes that equity grants provide its executive officers with a strong link to Frequency’s long-term performance, create an ownership culture and help to align the interests of its executive officers and its stockholders. In addition, Frequency believes that equity grants with a time-based vesting feature promote executive retention because this feature incentivizes its executive officers to remain in Frequency’s employment during the vesting period. Accordingly, the Frequency board of directors periodically reviews the equity incentive compensation of its executives, including its named executive officers, and from time to time may grant equity incentive awards to them. To date, Frequency’s equity awards have been made in the form of Frequency Options, Frequency Restricted Stock Units, and Frequency Performance Stock Units.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2022, Frequency granted Frequency Restricted Stock Units and Frequency Performance Stock Units to each of its named executive officers, as shown in more detail in the “</w:t>
      </w:r>
      <w:r>
        <w:rPr>
          <w:rFonts w:ascii="Times New Roman" w:cs="Times New Roman" w:eastAsia="Times New Roman" w:hAnsi="Times New Roman"/>
          <w:sz w:val="18"/>
          <w:szCs w:val="18"/>
          <w:i w:val="1"/>
          <w:iCs w:val="1"/>
          <w:color w:val="auto"/>
        </w:rPr>
        <w:t>Outstanding Equity Awards at 2022 Fiscal Year-End</w:t>
      </w:r>
      <w:r>
        <w:rPr>
          <w:rFonts w:ascii="Times New Roman" w:cs="Times New Roman" w:eastAsia="Times New Roman" w:hAnsi="Times New Roman"/>
          <w:sz w:val="18"/>
          <w:szCs w:val="18"/>
          <w:color w:val="auto"/>
        </w:rPr>
        <w:t>” table below. The time-based restricted stock units were granted in February 2022 and consist of 6,000 restricted stock units (on a post-split basis) granted to Mr. Lucchino, and 3,000 restricted stock units (on a post-split basis) granted to each of Dr. LeBel and Dr. Loose. The Frequency Restricted Stock Units vest in one installment on July 4, 2023, subject to the applicable executive’s continued employment with Frequency. The Frequency Performance Stock Units were granted in April 2022 and consist of 6,000 restricted stock units (on a post-split basis) granted to Mr. Lucchino, and 4,000 restricted stock units (on a post-split basis) granted to each of Drs. LeBel and Loose. The Frequency Performance Stock Units generally vest upon a determination by the Frequency board of directors of the completion of a bona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82"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fide, third-party security financing transaction in which Frequency receives gross proceeds of at least $25 million that occurs on or before December 31, 2023, subject to the applicable executive’s continued employment through such vesting date. The Restricted Stock Units vested upon completion of the Merger and the Performance Stock Units issued to Mr. Lucchino vested upon execution of his separation agreement from Frequency.</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addition, on August 17, 2022, the Frequency board of directors approved the repricing of all Frequency Options granted under the 2019 Plan that were held by then current employees, executives, directors, and consultants for which the exercise price per share was greater than the closing price per share of the Frequency common stock on August 17, 2022 by reducing the exercise price of each such Frequency Option to $107.00, the closing price per share of the Frequency common stock on August 17, 2022 (as adjusted for the 1-for-50 reverse stock split effected November 3,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Frequency maintains a 401(k) retirement savings plan, or the 401(k) Plan, for its employees including its named executive officers, who satisfy certain eligibility requirements. Frequency’s named executive officers are eligible to participate in the 401(k) Plan on the same terms as other full-time employees. Under this plan, during 2022 Frequency matched 100% of the first 5% of participants’ contributions. Frequency believes that providing a vehicle for tax-deferred retirement savings though its 401(k) Plan adds to the overall desirability of its executive compensation package and further incentivizes its employees, including its named executive officers, in accordance with its compensation policies.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 and Welfare Plans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During their employment, Frequency’s named executive officers are eligible to participate in Frequency’s employee benefit plans and programs, including medical, dental and vision benefits, to the same extent as its other full-time employees, subject to the terms and eligibility requirements of those plans.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82"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Share and exercise prices in the table and footnotes below have been adjusted to reflect the 1-for-50 reverse stock split effected November 3, 2023 (rounded down without adjustment for fractional shares).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gridSpan w:val="6"/>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Frequency Option Awards</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80" w:type="dxa"/>
            <w:vAlign w:val="bottom"/>
          </w:tcPr>
          <w:p>
            <w:pPr>
              <w:spacing w:after="0"/>
              <w:rPr>
                <w:sz w:val="15"/>
                <w:szCs w:val="15"/>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Lucchino(11)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4/11/2022(5)</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3"/>
              </w:rPr>
              <w:t>6,000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2/17/2022(6)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1,155,000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1/15/2021(7)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1,916</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1/14/2031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2/12/2020(8)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3,536</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2/11/2030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10/2/2019(9)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11,311</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2,976</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Carl P. LeBel (3)</w:t>
            </w:r>
          </w:p>
        </w:tc>
        <w:tc>
          <w:tcPr>
            <w:tcW w:w="220" w:type="dxa"/>
            <w:vAlign w:val="bottom"/>
          </w:tcPr>
          <w:p>
            <w:pPr>
              <w:spacing w:after="0"/>
              <w:rPr>
                <w:sz w:val="17"/>
                <w:szCs w:val="17"/>
                <w:color w:val="auto"/>
              </w:rPr>
            </w:pPr>
          </w:p>
        </w:tc>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4/11/2022(5)</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4,000</w:t>
            </w:r>
          </w:p>
        </w:tc>
        <w:tc>
          <w:tcPr>
            <w:tcW w:w="8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770,000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2/17/2022(6)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577,500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1/15/2021(7)</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1/14/2031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2/12/2020(8)</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2/11/2030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10/2/2019(9)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2,833</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10/1/2029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4/17/2019(10)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1,996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4/17/2019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3/12/2018</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2,672</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3/11/2028</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R. Loose(4)</w:t>
            </w: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4/11/2022(5)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2/17/2022(6)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577,500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1/15/2021(7)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1/14/2031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2/12/2020(8)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2/11/2030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10/2/2019(9)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2,324</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5/22/2018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5/21/2028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6/29/2017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6/28/2027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0" w:hanging="424"/>
        <w:spacing w:after="0" w:line="261"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Frequency Options issued under the 2019 Plan with an exercise price greater than $107.00 (as adjusted for the reverse stock split) were repriced on August 17, 2022 as approved by the Frequency board of directors.</w:t>
      </w:r>
    </w:p>
    <w:p>
      <w:pPr>
        <w:ind w:left="540" w:right="340" w:hanging="424"/>
        <w:spacing w:after="0" w:line="25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based on the closing price of the Frequency common stock as of December 30, 2022 of $192.50 per share, the last trading day in 2022 (as adjusted for the reverse stock split).</w:t>
      </w: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LeBel, Frequency’s former Chief Development Officer, terminated employment with Frequency on March 31, 2023.</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Loose, Frequency’s former Chief Scientific Officer, terminated employment with Frequency on July 28, 2023. In connection with Dr. Loose’s separation agreement, among other things, Dr. Loose’s unvested Frequency Options and Frequency Restricted Stock Units remain outstanding and vested as the Merger closed and became effective on or before December 31, 2023.</w:t>
      </w:r>
    </w:p>
    <w:p>
      <w:pPr>
        <w:spacing w:after="0" w:line="1"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Performance Stock Units vest in one installment upon a determination by the Frequency board of directors of the completion of a bona fide, third-party security financing transaction in which</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680"/>
        <w:spacing w:after="0" w:line="261" w:lineRule="auto"/>
        <w:rPr>
          <w:sz w:val="20"/>
          <w:szCs w:val="20"/>
          <w:color w:val="auto"/>
        </w:rPr>
      </w:pPr>
      <w:r>
        <w:rPr>
          <w:rFonts w:ascii="Times New Roman" w:cs="Times New Roman" w:eastAsia="Times New Roman" w:hAnsi="Times New Roman"/>
          <w:sz w:val="18"/>
          <w:szCs w:val="18"/>
          <w:color w:val="auto"/>
        </w:rPr>
        <w:t>Frequency receives gross proceeds of at least $25 million that occurs on or before December 31, 2023. Dr. Loose forfeited his Frequency Performance Stock Units in connection with his termination on July 28, 2023.</w:t>
      </w:r>
    </w:p>
    <w:p>
      <w:pPr>
        <w:ind w:left="540" w:right="2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Restricted Stock Units vest in one installment on July 4, 2023, subject to continued employment through the applicable vesting date.</w:t>
      </w:r>
    </w:p>
    <w:p>
      <w:pPr>
        <w:ind w:left="540" w:right="3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on February 1 of the year of grant, subject to continued employment through each applicable vesting date.</w:t>
      </w:r>
    </w:p>
    <w:p>
      <w:pPr>
        <w:ind w:left="540" w:right="3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on February 1 of the year of grant, subject to continued employment through each applicable vesting date.</w:t>
      </w:r>
    </w:p>
    <w:p>
      <w:pPr>
        <w:ind w:left="540" w:right="50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November 2 of the year of grant, subject to continued employment through each applicable vesting date.</w:t>
      </w:r>
    </w:p>
    <w:p>
      <w:pPr>
        <w:ind w:left="540" w:right="3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on February 1 of the year of grant, subject to continued employment through each applicable vesting date. The Frequency Option vests in full in the event of a change in control.</w:t>
      </w: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Lucchino’s employment ceased upon closing of the Merger on November 3, 2023.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Lucchino</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Frequency entered into a second amended and restated executive employment agreement with Mr. Lucchino on September 20, 2019, pursuant to which Frequency employs Mr. Lucchino as its President and Chief Executive Officer. The employment agreement also provides for Mr. Lucchino to serve as a member of the Frequency board of directors for as long as he is employed as its Chief Executive Officer. The employment agreement has an indefinite term.</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employment agreement provides for an annual base salary of $525,000, which was increased to $630,000 effective January 1, 2022, and for a target annual performance bonus equal to 55%, which was increased to 60% effective January 1, 2021, of Mr. Lucchino’s annual base salary to be based on the attainment of predetermined performance objectives agreed upon between Mr. Lucchino and the Frequency board of directors. In the event of certain corporate transactions, including a spin-off of assets or a restructuring, Mr. Lucchino is entitled to the same relative ownership percentage in the resulting entity or entities as he had in Frequency immediately before the corporate transaction. If a “change in control” (as such term is defined in his employment agreement) occurs, all of Mr. Lucchino’s time-based equity awards will accelerate and vest.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Frequency terminates Mr. Lucchino’s employment without “cause”, he resigns for “good reason” or his employment terminates as a result of “disability” (as such terms are defined in the employment agreement) or death, subject to his execution and non-revocation of a release in favor of Frequency, he is entitled to receive the following termination payments: (i) twelve months’ base salary, (ii) 100% of his target annual bonus and (iii) a pro-rated portion of his annual target bonus based on the portion of the year he was employed. The payments under clauses (i)-(iii) are payable in a single lump sum on the first payroll date following the 60th day after his termination of employment. Mr. Lucchino may also receive up to twelve months’ continued coverage, at Frequency’s expense, under COBRA, if he elects such continued coverage. In addition to the termination payments, all time-based equity awards granted to Mr. Lucchino will accelerate and vest as to the number of shares that would have vested had he remained employed for an additional six months following his date of termination. If such a qualifying termination occurs following a “change in control”, subject to his execution and non-revocation of a release, Mr. Lucchino will be entitled to receive the same termination payments except (i) the severance payment will be equal to 18 months’ base salary and (ii) all equity awards held by Mr. Lucchino will accelerate and vest (including performance vesting awards, which will vest at target level of achievement).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82"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Mr. Lucchino is also party to restrictive covenant agreements, pursuant to which he has agreed to refrain from competing with Frequency or soliciting its customers or employees during his employment and for one year following termination of his employment and from disclosing Frequency’s proprietary information during or at any time following his employment.</w:t>
      </w:r>
    </w:p>
    <w:p>
      <w:pPr>
        <w:spacing w:after="0" w:line="176"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On November 3, 2023, Frequency entered into a separation agreement with Mr. Lucchino pursuant to which, in exchange for a general release of claims in favor of Frequency and its affiliates, he is entitled to receive the severance payments and benefits provided under his employment agreement.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LeBel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Frequency entered into an employment agreement with Dr. LeBel on September 19, 2019, pursuant to which Frequency employed Dr. LeBel as its Chief Development Officer. The employment agreement for Dr. LeBel provided for an annual salary of $425,000, which was increased to $480,344 effective January 1, 2022, with a target annual performance bonus equal to 40% of his base salary based on the attainment of predetermined individual and company performance objectives determined by the Frequency board of directors.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Dr. LeBel’s employment agreement, if Frequency terminated Dr. LeBel’s employment without “cause” or he resigned for “good reason” (as such terms were defined in the employment agreement), subject to his execution and non-revocation of a release in favor of Frequency, he was entitled to receive the following termination payments: (i) twelve months’ continued base salary in equal installments following his termination, (ii) 100% of his target annual bonus paid in a lump sum within 14 days following his execution of the release and (iii) if he makes an election, up to twelve months continued coverage under COBRA, with Frequency paying the same portion of the COBRA premiums as it pays for active employees. If such a qualifying termination occurred within 12 months following a “change in control” (as defined in his employment agreement), Dr. LeBel’s equity awards would accelerate and vest.</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Dr. LeBel is party to restrictive covenant agreements, pursuant to which he agreed to refrain from competing with Frequency or soliciting its customers or employees during his employment and for one year following termination of his employment and from disclosing Frequency’s proprietary information during or at any time following his employment.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March 23, 2023, Frequency entered into a separation agreement with Dr. LeBel pursuant to which, in exchange for a general release of claims in favor of Frequency and its affiliates, he is entitled to receive the severance payments and benefits provided under his employment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Loose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Frequency entered into an amended and restated employment agreement with Dr. Loose on September 20, 2019, pursuant to which Frequency employed Dr. Loose as its Chief Scientific Officer. The employment agreement had an indefinite term.</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employment agreement for Dr. Loose provided for an annual base salary of $425,000, which was increased to $480,344 effective January 1, 2022, and a target annual performance bonus equal to 40% of his base salary, and is based on the attainment of predetermined individual and company performance objectives agreed upon between Dr. Loose and Frequency.</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the event Frequency terminates Dr. Loose’s employment without “cause” or he resigns for “good reason” (as such terms are defined in the employment agreement), subject to his execution and non-revocation of a release in favor of Frequency, he is entitled to receive the following termination payments: (i) 12 months’ continued base salary in equal installments following his termination, (ii) 100% of his target annual bonus paid in a lump sum within 14 days following his execution of the release and (iii) if he makes an election, up to twelve months continued coverage under COBRA, with Frequency paying the same portion of the COBRA premiums as it pays for active employees. If such a qualifying termination occurs within twelve months following a “change in control” (as defined in his employment agreement), Dr. Loose’s equity awards will accelerate and vest.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82"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Dr. Loose is party to restrictive covenant agreements, pursuant to which he has agreed to refrain from competing with Frequency or soliciting its customers or employees during his employment and for one year following termination of his employment and from disclosing Frequency’s proprietary information during or at any time following his employment.</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On July 28, 2023, Frequency entered into a separation agreement with Dr. Loose pursuant to which, in exchange for a general release of claims in favor of Frequency and its affiliates, he is entitled to receive (i) continued payment of his base salary for a period of 12 months from July 28, 2023, (ii) continued group health plan coverage under COBRA for up to 12 months, with Frequency paying the portion of the premium that it would pay for active and similarly situated employees, (iii) $201,744.35, which is equal to 100% of his 2023 target bonus opportunity, and (iv) accelerated vesting of all of his unvested Frequency Options and Frequency Restricted Stock Units if the Merger closes and becomes effective on or before December 31, 2023.</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Frequency Director Compensation</w:t>
      </w:r>
    </w:p>
    <w:p>
      <w:pPr>
        <w:spacing w:after="0" w:line="121" w:lineRule="exact"/>
        <w:rPr>
          <w:sz w:val="20"/>
          <w:szCs w:val="20"/>
          <w:color w:val="auto"/>
        </w:rPr>
      </w:pPr>
    </w:p>
    <w:p>
      <w:pPr>
        <w:ind w:left="120" w:right="500" w:firstLine="440"/>
        <w:spacing w:after="0" w:line="289" w:lineRule="auto"/>
        <w:rPr>
          <w:sz w:val="20"/>
          <w:szCs w:val="20"/>
          <w:color w:val="auto"/>
        </w:rPr>
      </w:pPr>
      <w:r>
        <w:rPr>
          <w:rFonts w:ascii="Times New Roman" w:cs="Times New Roman" w:eastAsia="Times New Roman" w:hAnsi="Times New Roman"/>
          <w:sz w:val="17"/>
          <w:szCs w:val="17"/>
          <w:color w:val="auto"/>
        </w:rPr>
        <w:t>Effective on the initial public offering of Frequency common stock in October 2019, Frequency adopted and its stockholders approved a compensation program for Frequency’s non-employee directors under which each non-employee director receives the following amounts for their services on the Frequency board of directors (share amounts have been adjusted for the 1-for-50 reverse stock split effected November 3, 2023):</w:t>
      </w:r>
    </w:p>
    <w:p>
      <w:pPr>
        <w:spacing w:after="0" w:line="63" w:lineRule="exact"/>
        <w:rPr>
          <w:sz w:val="20"/>
          <w:szCs w:val="20"/>
          <w:color w:val="auto"/>
        </w:rPr>
      </w:pPr>
    </w:p>
    <w:p>
      <w:pPr>
        <w:ind w:left="1080" w:right="6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purchase 593 shares of Frequency common stock upon the director’s initial election or appointment to the Frequency board of directors,</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has served on the Frequency board of directors for at least six months as of the date of an annual meeting of stockholders, an option to purchase 296 shares of Frequency common stock on the date of the annual meeting,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director fee of $35,000,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serves on a committee of the Frequency board of directors or in the other capacities stated below, an additional annual fee as follows: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vice chairman of the board, or lead independent director, $30,000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$15,000,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chairman, $7,500,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 $10,000,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chairman, $5,000,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nominating and corporate governance committee, $8,000,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chairman, $4,000.</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Frequency Options granted to Frequency’s non-employee directors under the program have an exercise price equal to the fair market value of Frequency common stock on the date of grant and expire not later than ten years after the date of grant. The Frequency Options granted upon a director’s initial election or appointment vest in 36 substantially equal monthly installments following the date of grant. The Frequency Options granted annually to directors vest in a single installment on the earlier of the day before the next annual meeting or the first anniversary of the date of grant. In addition, all unvested Frequency Options vest in full upon the occurrence of a change in control.</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 fees under the program are payable in arrears in four equal quarterly installments not later than the fifteenth day following the final day of each calendar quarter, provided that the amount of each payment is prorated for any portion of a quarter that a director is not serving as non-employee member of the Frequency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82"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Mr. Lucchino, Frequency’s former President and Chief Executive Officer, serves on the board of directors but does not receive additional compensation for his service as a director. Refer to the discussion of named executive officer compensation elsewhere in this section for information regarding Mr. Lucchino’s 2022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Director Compensation Table - Frequency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and exercise prices in the table and footnotes below have been adjusted to reflect the 1-for-50 reverse stock split effected November 3,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2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($)(1)</w:t>
            </w:r>
          </w:p>
        </w:tc>
        <w:tc>
          <w:tcPr>
            <w:tcW w:w="5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A. Cohen (3)</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39,500</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Robert S. Langer</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44,000</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29,322</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60,000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133,322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J. Barberich</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75,000</w:t>
            </w:r>
          </w:p>
        </w:tc>
        <w:tc>
          <w:tcPr>
            <w:tcW w:w="1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29,322</w:t>
            </w:r>
          </w:p>
        </w:tc>
        <w:tc>
          <w:tcPr>
            <w:tcW w:w="16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104,322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Michael Huang</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58,921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29,322</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88,243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L. Feldmann</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42,816</w:t>
            </w:r>
          </w:p>
        </w:tc>
        <w:tc>
          <w:tcPr>
            <w:tcW w:w="16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54"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full grant date fair value of Frequency Options issued during 2022, computed in accordance with ASC Topic 718, and the incremental fair value expensed in connection with the repricing of Frequency Options held by the Frequency directors that was approved in August 2022, computed in accordance with ASC Topic 718, rather than the amounts paid to or realized by the named individual. The assumptions used to calculate the grant date fair value of all Frequency Options made to the Frequency directors are set forth in the financial statements included in this proxy statement/prospectus.</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consulting fees paid pursuant to a verbal consulting agreement with Frequency. The agreement entitles Dr. Langer to $5,000 in consulting fees per month until it is terminated either by Frequency upon six months’ notice or by Dr. Langer upon 30 days’ notice.</w:t>
      </w: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Cohen’s term on Frequency’s Board of Directors ended in June 2022.</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Frequency Options held as of December 31, 2022 by each non-employee director who served on the Frequency board of directors in 2022. None of Frequency’s non-employee directors held unvested restricted shares as of December 31, 2022.</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00" w:type="dxa"/>
            <w:vAlign w:val="bottom"/>
          </w:tcPr>
          <w:p>
            <w:pPr>
              <w:spacing w:after="0"/>
              <w:rPr>
                <w:sz w:val="12"/>
                <w:szCs w:val="12"/>
                <w:color w:val="auto"/>
              </w:rPr>
            </w:pPr>
          </w:p>
        </w:tc>
        <w:tc>
          <w:tcPr>
            <w:tcW w:w="18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end</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end</w:t>
            </w: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8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A. Cohen</w:t>
            </w:r>
          </w:p>
        </w:tc>
        <w:tc>
          <w:tcPr>
            <w:tcW w:w="2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Robert S. Langer</w:t>
            </w:r>
          </w:p>
        </w:tc>
        <w:tc>
          <w:tcPr>
            <w:tcW w:w="45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7,444</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J. Barberich</w:t>
            </w:r>
          </w:p>
        </w:tc>
        <w:tc>
          <w:tcPr>
            <w:tcW w:w="45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2,042</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Huang</w:t>
            </w:r>
          </w:p>
        </w:tc>
        <w:tc>
          <w:tcPr>
            <w:tcW w:w="45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593</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S. Marcus</w:t>
            </w:r>
          </w:p>
        </w:tc>
        <w:tc>
          <w:tcPr>
            <w:tcW w:w="45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593</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Cynthia L. Feldmann</w:t>
            </w:r>
          </w:p>
        </w:tc>
        <w:tc>
          <w:tcPr>
            <w:tcW w:w="45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742</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346"/>
        </w:trPr>
        <w:tc>
          <w:tcPr>
            <w:tcW w:w="2800" w:type="dxa"/>
            <w:vAlign w:val="bottom"/>
          </w:tcPr>
          <w:p>
            <w:pPr>
              <w:spacing w:after="0"/>
              <w:rPr>
                <w:sz w:val="24"/>
                <w:szCs w:val="24"/>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187</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Equity Compensation Plan Information</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Frequency equity compensation plans as of December 31, 2022. Share and exercise prices in the table and footnotes below have been adjusted to reflect the 1-for-50 reverse stock split effected November 3, 2023 (without giving effect to fractional shares and rounding down).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(excludes</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Reflected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28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0" w:type="dxa"/>
            <w:vAlign w:val="bottom"/>
          </w:tcPr>
          <w:p>
            <w:pPr>
              <w:spacing w:after="0"/>
              <w:rPr>
                <w:sz w:val="1"/>
                <w:szCs w:val="1"/>
                <w:color w:val="auto"/>
              </w:rPr>
            </w:pPr>
          </w:p>
        </w:tc>
      </w:tr>
      <w:tr>
        <w:trPr>
          <w:trHeight w:val="149"/>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173"/>
        </w:trPr>
        <w:tc>
          <w:tcPr>
            <w:tcW w:w="480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holders(2)</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176,874(3)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117.50(4)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44,274(5)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44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176,874</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117.50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44,274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2019 Plan, the number of shares of common stock available for issuance under the 2019 Plan automatically increases on each January 1 until and including January 1, 2029, by an amount equal to the lesser of: (a) 4% of the shares of common stock outstanding on the final day of the immediately preceding calendar year and (b) such smaller number of shares as is determined by the Frequency board of directors. Pursuant to the terms of the Frequency ESPP, the number of shares of common stock available for issuance under the Frequency ESPP automatically increases on each January 1 until and including January 1, 2029, by an amount equal to the lesser of: (a) 1% of the shares of common stock outstanding on the final day of the immediately preceding calendar year and (b) such smaller number of shares as is determined by the Frequency board of directors.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2014 Plan, the 2019 Plan, and the Frequency ESPP.</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49,552 outstanding Frequency Options to purchase shares of common stock under the 2014 Plan, 65,289 outstanding Frequency Options to purchase common stock under the 2019 Plan and 62,033 Frequency Restricted Stock Units under the 2019 Plan, which includes 23,000 shares representing the maximum number of shares that may be issued subject to Frequency Performance stock Units under the 2019 Plan.</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weighted-average exercise price of outstanding Frequency Options under the 2014 Plan was $125.50 and the weighted-average exercise price per share of outstanding Frequency Options under the 2019 Plan was $111.00. Frequency Restricted Stock Units do not have an exercise price and were not included in calculating weighted average exercise prices.</w:t>
      </w:r>
    </w:p>
    <w:p>
      <w:pPr>
        <w:spacing w:after="0" w:line="1"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 total of 44,274 shares of common stock were available for issuance, consisting of (a) 24,510 shares of common stock available for future issuance under the Frequency ESPP, none of which shares were subject to outstanding purchase rights under the Frequency ESPP, and (b) 19,764 shares of common stock available for future issuance under the 2019 Plan.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60"/>
          </w:cols>
          <w:pgMar w:left="320" w:top="482" w:right="5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LEGACY KORRO 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Placements of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Financing</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July 2021, Legacy Korro sold an aggregate of 20,424,108 shares of Series A Preferred Stock at a purchase price of $2.24 per share for aggregate gross proceeds of $45.8 million. The following table summarizes purchases of Legacy Korro’s Series A Preferred Stock by related persons (share amounts have not been updated to reflect the exchange for our common stock in the Merger):</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XI, L.P. (1)</w:t>
            </w:r>
          </w:p>
        </w:tc>
        <w:tc>
          <w:tcPr>
            <w:tcW w:w="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2,678,571</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New Enterprise Associates 17, L.P. (2)</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4,464,286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 (3)</w:t>
            </w:r>
          </w:p>
        </w:tc>
        <w:tc>
          <w:tcPr>
            <w:tcW w:w="1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4,464,286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Qiming U.S. Healthcare Fund II, L.P. (4)</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2,790,179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6,250,001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Citadel Multi-Strategy Equities Master Fund Ltd. (5)</w:t>
            </w:r>
          </w:p>
        </w:tc>
        <w:tc>
          <w:tcPr>
            <w:tcW w:w="1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2,232,143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 (6)</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2,232,143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20" w:hanging="424"/>
        <w:spacing w:after="0" w:line="261"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Venture Fund XI, L.P., or Atlas, beneficially owns more than 5% of our outstanding capital stock. Jean-François Formela is a Partner at Atlas and a member of our board of directors.</w:t>
      </w:r>
    </w:p>
    <w:p>
      <w:pPr>
        <w:ind w:left="54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Enterprise Associates 17, L.P., or NEA, beneficially owns more than 5% of our outstanding capital stock. Ali Behbahani is a Partner at NEA and a member of our board of directors.</w:t>
      </w:r>
    </w:p>
    <w:p>
      <w:pPr>
        <w:ind w:left="540" w:right="18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Platanus Investment LLC, or Platanus, beneficially owns more than 5% of our outstanding capital stock. Hannah Chang is a Partner at Platanus and was member of Legacy Korro’s board of directors.</w:t>
      </w:r>
    </w:p>
    <w:p>
      <w:pPr>
        <w:ind w:left="540" w:right="2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U.S. Healthcare Fund II, L.P., or Qiming, beneficially owns more than 5% of our outstanding capital stock and had a designee on Legacy Korro’s board of directors.</w:t>
      </w: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Multi-Strategy Equities Master Fund Ltd.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Asset Management LP own more than 5% of our outstanding capital stock.</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40"/>
          </w:cols>
          <w:pgMar w:left="320" w:top="482" w:right="5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Financing</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November 2021, December 2021 and March 2023, Legacy Korro sold an aggregate of 43,085,531 shares of its Series B preferred stock at a purchase price of $2.61 and $2.78 per share for aggregate gross proceeds of $116.0 million. The following table summarizes purchases of Legacy Korro’s Series B preferred stock by related persons (share amounts have not been updated to reflect the exchange for our common stock in the Merger):</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9"/>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XI, L.P. (1)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3,064,273</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New Enterprise Associates 17, L.P. (2)</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2,971,416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 (3)</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1,764,279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4,750,002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Qiming U.S. Healthcare Fund II, L.P. (4)</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1,114,281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(5)</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7,428,540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L.P. (6)</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5,571,405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Point72 Biotech Private Investments, LLC (7)</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5,571,405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The Ram Aiyar Irrevocable Trust (8)</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92,857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 (9)</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9,285,675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Citadel Multi-Strategy Equities Master Fund Ltd. (10)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835,710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2,249,998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 (11)</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835,710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2,249,998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61"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beneficially owns more than 5% of our outstanding capital stock. Jean-François Formela is a Partner at Atlas and a member of our board of directors.</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 beneficially owns more than 5% of our outstanding capital stock. Ali Behbahani is a Partner at NEA and a member of our board of directors.</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Platanus beneficially owns more than 5% of our outstanding capital stock. Hannah Chang is a Partner at Platanus and was a member of Legacy Korro’s board of directors.</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beneficially owns more than 5% of our outstanding capital stock and had a designee on Legacy Korro’s board of directors.</w:t>
      </w:r>
    </w:p>
    <w:p>
      <w:pPr>
        <w:spacing w:after="0" w:line="9"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 Series Trust, on behalf of Eventide Healthcare &amp; Life Sciences Fund, or Eventide, owns more than 5% of our outstanding capital stock.</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Point72 Biotech Private Investments, LLC owns more than 5% of our outstanding capital stock and had a designee on Legacy Korro’s board of directors.</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 Aiyar is the grantor of The Ram Aiyar Irrevocable Trust and an officer and member of our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Multi-Strategy Equities Master Fund Ltd.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Asset Management LP own more than 5% of our outstanding capital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Pre-Closing Financing</w:t>
      </w:r>
    </w:p>
    <w:p>
      <w:pPr>
        <w:spacing w:after="0" w:line="12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Legacy Korro entered into a Subscription Agreement in July 2023 with certain investors to consummate the Pre-Closing Financing. Pursuant to the Subscription Agreement, the investors agreed to purchase shares of Legacy Korro common stock, at a price of $2.78 per share, for aggregate gross proceeds of $117.3 million. Seven of the investors or their affiliates are beneficial holders of more than 5% of our capital stock, and the table below</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82"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sets forth the number of shares of our common stock purchased by such holders at the closing of the Pre-Closing Financing (share amounts have not been updated to reflect the exchange for our common stock in the Merger):</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Our</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7020" w:type="dxa"/>
            <w:vAlign w:val="bottom"/>
            <w:vMerge w:val="continue"/>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XI, L.P. (1)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New Enterprise Associates 17, L.P. (2)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 (3)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Citadel CEMF Investments Ltd.(4)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 (5)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Qiming U.S. Healthcare Fund II, L.P. (6)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 Fund (7)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L.P (8)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Point72 Associates, LLC (9)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 (10)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00" w:hanging="424"/>
        <w:spacing w:after="0" w:line="261"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beneficially owns more than 5% of our outstanding capital stock. Jean-François Formela is a Partner at Atlas and a member of our board of directors.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 beneficially owns more than 5% of our outstanding capital stock. Ali Behbahani is a Partner at NEA and a member of our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Platanus beneficially owns more than 5% of our outstanding capital stock. Hannah Chang is a Partner at Platanus and was a member of Legacy Korro’s board of directors.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beneficially owns more than 5% of our outstanding capital stock and had a designee on Legacy Korro’s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Eventide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Point72 Biotech Private Investments, LLC, an affiliate of Point72 Associates, LLC, owns more than 5% of Korro Bio’s outstanding capital stock and had a designee on Legacy Korro’s board of directors.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Asset Management LP own more than 5% of our outstanding capital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 with Our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Legacy Korro’s Series B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the Merger, except for the registration rights granted under Legacy Korro’s investors’ rights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82"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our directors, officers and holders of 5%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our stockholders, who must approve the transaction in good faith.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82"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 OF FREQUENCY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Regarding Transactions with Related Persons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Frequency’s board of directors recognizes that transactions with related persons present a heightened risk of conflicts of interests and/or improper valuation (or the perception thereof). Frequency’s board of directors adopted a written policy on transactions with related persons that is in conformity with the requirements for issuers having publicly held common stock listed on the Nasdaq. Frequency’s related person transaction policy required that the audit committee approve or ratify related person transactions required to be disclosed pursuant to Item 404(a) of Regulation S-K (which are transactions in which Frequency was or is to be a participant and the amount involved exceeds the lesser of (i) $120,000 or (2) 1% of the average of Frequency’s total assets at fiscal year-end for the last two completed fiscal years, and in which any “related person” as defined under Item 404(a) of Regulation S-K had or will have a direct or indirect material interest). It was Frequency’s policy that directors interested in a related person transaction will recuse themselves from any vote on a related person transaction in which they have an interest. Each of the transactions described below entered into following the adoption of Frequency’s related person transaction policy was approved in accordance with such policy.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December 2016, Frequency entered into a lease for laboratory, office and storage facilities in Woburn, Massachusetts with ARE-MA Region No. 20, LLC, an entity affiliated with Alexandria. Joel S. Marcus, a former director of Frequency’s board of directors, is executive chairman of Alexandria. Under the lease, which was amended in November 2019, January 2020 and December 2020, and terminated in May 2021, Frequency paid monthly base rent and operating expenses. The total rent paid under this lease was $230 thousand and $0 for the years ended December 31, 2021 and 2022, respectively. There was also an early termination payment of $100 thousand in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 License Agreement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2016, Frequency entered into the MIT License, with MIT. The patents in-licensed by Frequency from MIT pursuant to the MIT License claim inventions created by, among others, Robert S. Langer, one of the Frequency’s directors. Pursuant to MIT policy, inventors of intellectual property invented at MIT, including the inventors of patents licensed to Frequency under the MIT License, are entitled to a portion of the net royalty income derived by MIT from such inventions.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July 2019, Frequency entered into the Astellas Agreement, under which Frequency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including the product candidate FX-322, outside of the United States. Pursuant to the Astellas Agreement, Frequency received an $80 million upfront payment in July 2019, or the Astellas Royalty Payment.</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Pursuant to the MIT License Agreement, Frequency is obligated to pay royalties and a portion of sublicensing income to MIT. Frequency was required to pay MIT a royalty of $16 million on the $80 million Astellas Royalty Payment. Dr. Langer is entitled to receive a portion of the amounts Frequency pays to MIT under the MIT License, including the Astellas Royalty Payment and future milestone payments or royalties, if any, that Frequency may receive pursuant to the Astellas Agreement. Accordingly, Dr. Langer received $11 thousand and $6 thousand from MIT under the MIT Policy during the year ended December 31, 2021 and 2022, respectively. The MIT License Agreement has since been terminated.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82"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Frequency entered into a second amended and restated investors’ rights agreement, or the Investors’ Rights Agreement, in July 2019 with each holder of Frequency preferred stock, which included certain holders of more than 5% of Frequency common stock at the time and certain of Frequency’s directors and executive officers. The Investors’ Rights Agreement grants the parties thereto certain registration rights in respect of the “registrable securities” held by them, which securities include (1) the shares of Frequency common stock issuable or issued upon the conversion of shares of Frequency convertible preferred stock, (2) any shares of Frequency common stock, or any common stock issued or issuable upon conversion and/or exercise of any of Frequency’s securities acquired by the parties after the date of the Investors’ Rights Agreement, and (3) any shares of Frequency common stock issued as a dividend or other distribution with respect to, or in exchange for, or in replacement of, the shares described in the foregoing clauses (1) and (2). The registration of shares of Frequency common stock pursuant to the exercise of these registration rights would enable the holders thereof to sell such shares under the Securities Act when the applicable registration statement is declared effective. Under the Investors’ Rights Agreement, Frequency will pay all expenses relating to such registrations, including the reasonable fees of one special counsel for the participating stockholders, and the stockholders will pay all underwriting discounts and commissions relating to the sale of their shares. The Investors’ Rights Agreement also includes customary indemnification and procedural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S-1 registration rights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at any time the holders of at least 40% of the registrable securities request in writing that Frequency effects a registration with respect to at least 25% of such registrable securities then outstanding (or a lesser percent if the anticipated aggregate offering price, net of selling expenses, would exceed $10.0 million), Frequency is obligated to register their shares. Frequency is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at any time Frequency proposes to register any shares of Frequency common stock under the Securities Act, subject to certain exceptions, the holders of registrable securities will be entitled to notice of the registration and to include their registrable securities in the registration. If Frequency’s proposed registration involves an underwriting, the managing underwriter of such offering will have the right to limit the number of shares to be underwritten for reasons related to the marketing of the shares.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11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at any time after Frequency becomes entitled under the Securities Act to register Frequency’s shares on a registration statement on Form S-3, the holders of the registrable securities request in writing that Frequency effects a registration with respect to registrable securities at an aggregate price to the public in the offering of at least $1,000,000, net of expenses borne by the holders, Frequency is obligated to effect such registration. Frequency is not obligated to effect more than one S-3 registration in any 12 month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Expenses and indemnification</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Ordinarily, other than underwriting discounts and commissions, Frequency will be required to pay all expenses incurred by Frequency related to any registration effected pursuant to the exercise of these registration rights. These expenses may include all registration, filing and qualification fees, printing and accounting fees, fees and disbursements of Frequency’s counsel, and reasonable fees and disbursements of a counsel for the selling securityholders. Additionally, Frequency has agreed to indemnify selling stockholders for damages,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82"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legal or other expenses reasonably incurred, arising from or based upon any untrue statement or alleged untrue statement of a material fact contained in any registration statement, an omission or alleged omission to state a material fact required to be stated in any registration statement or necessary to make the statements therein not misleading, or any violation or alleged violation by the indemnifying party of securities laws, subject to certain exceptions.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 of registration rights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rights expire on the earlier of (1) the date that is five years after the closing of Frequency’s IPO and (2) with respect to each stockholder, at such time as such stockholder can sell all of its shares pursuant to Rule 144 of the Securities Act or another similar exemption under the Securities Act during any three month period without registration.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Frequency enters into indemnification agreements with each of its directors and executive officers. These agreements, among other things, require Frequency to indemnify each director and executive officer (and in certain cases their related venture capital funds) to the fullest extent permitted by Delaware law, including indemnification of expenses such as attorneys’ fees, judgments, fines, and settlement amounts incurred by the director or executive officer in any action or proceeding, including any action or proceeding by or in right of Frequency, arising out of the person’s services as a director or executive officer.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82"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common stock as of November 24, 2023 and reflects the 1-for-50 reverse stock split of our common stock effected November 3, 2023.</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November 24, 2023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we believe, based on the information provided to them, that the persons and entities named in the table below have sole voting and investment power with respect to all common stock shown as beneficially owned by them.</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table lists applicable percentage ownership based on 8,011,438 shares of common stock outstanding as of November 24, 2023. The number of shares beneficially owned includes shares of common stock that each person has the right to acquire within 60 days, including upon the exercise of stock options and the vesting of restricted stock units. These stock options and restricted stock units shall be deemed to be outstanding for the purpose of computing the percentage of outstanding shares of our common stock expected to be owned by such person but shall not be deemed to be outstanding for the purpose of computing the percentage of outstanding shares of the combined organization’s common stock expected to be owned by any other person.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After the Merger</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40" w:type="dxa"/>
            <w:vAlign w:val="bottom"/>
            <w:vMerge w:val="continue"/>
          </w:tcPr>
          <w:p>
            <w:pPr>
              <w:spacing w:after="0"/>
              <w:rPr>
                <w:sz w:val="12"/>
                <w:szCs w:val="12"/>
                <w:color w:val="auto"/>
              </w:rPr>
            </w:pPr>
          </w:p>
        </w:tc>
        <w:tc>
          <w:tcPr>
            <w:tcW w:w="126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Atlas Venture(1)</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1,119,292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New Enterprise Associates(2)</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1,074,273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FMR LLC(3)</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727,205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Fund(4)</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546,325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Point72 Asset Management(5)</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542,657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LLC(6)</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540,165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Citadel(7)</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546,252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LP(8)</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679,170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L.P.(9)</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418,605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Vineet Agarwal(10)</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41,440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Aiyar(11)</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144,145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Ali Behbahani</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Nessan Bermingham(12)</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110,927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Jean-François Formela</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Lucchino(13)</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58,026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Rachel Meyers</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R. Pearson.</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persons)(14)</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373,107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41"/>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440" w:type="dxa"/>
            <w:vAlign w:val="bottom"/>
            <w:gridSpan w:val="2"/>
          </w:tcPr>
          <w:p>
            <w:pPr>
              <w:jc w:val="right"/>
              <w:ind w:right="3611"/>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7440" w:type="dxa"/>
            <w:vAlign w:val="bottom"/>
            <w:gridSpan w:val="2"/>
          </w:tcPr>
          <w:p>
            <w:pPr>
              <w:jc w:val="right"/>
              <w:ind w:right="2031"/>
              <w:spacing w:after="0"/>
              <w:rPr>
                <w:sz w:val="20"/>
                <w:szCs w:val="20"/>
                <w:color w:val="auto"/>
              </w:rPr>
            </w:pPr>
            <w:r>
              <w:rPr>
                <w:rFonts w:ascii="Times New Roman" w:cs="Times New Roman" w:eastAsia="Times New Roman" w:hAnsi="Times New Roman"/>
                <w:sz w:val="18"/>
                <w:szCs w:val="18"/>
                <w:color w:val="auto"/>
              </w:rPr>
              <w:t>196</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660" w:right="80" w:hanging="544"/>
        <w:spacing w:after="0" w:line="25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942,075 shares of our common stock held by Atlas Venture Fund XI, L.P., or AVF XI, and (ii) 177,217 shares of our common stock held by Atlas Venture Opportunity Fund II, L.P., or AVO II. Atlas Venture Associates XI, L.P. is the general partner of AVF XI and Atlas Venture Associates XI, LLC is the general partner of Atlas Venture Associates XI, L.P. The members of Atlas Venture Associates XI, LLC collectively make investment decisions on behalf of Atlas Venture Fund XI, LLC. Jean-Francois Formela is a member of Atlas Venture Associates XI, LLC and a member of Korro Bio’s board of directors. Each of AVF XI, Atlas Venture Associates XI, L.P., and Atlas Venture Associates XI, LLC may be deemed to beneficially own the shares held by AVF XI. Mr. Formela expressly disclaim beneficial ownership of the shares owned by AVF XI, except to the extent of his pecuniary interest therein, if any. Atlas Venture Associates Opportunity II, L.P. is the general partner of AVO II, and Atlas Venture Associates Opportunity II, LLC is the general partner of Atlas Venture Associates Opportunity II, L.P. The members of Atlas Venture Associates Opportunity II, LLC collectively make investment decisions on behalf of Atlas Venture Associates Opportunity II, LLC. Mr. Formela is a member of Atlas Venture Associates Opportunity II, LLC. Each of AVO II, Atlas Venture Associates Opportunity II, L.P., and Atlas Venture Associates Opportunity II, LLC may be deemed to beneficially own the shares held by AVO</w:t>
      </w:r>
    </w:p>
    <w:p>
      <w:pPr>
        <w:spacing w:after="0" w:line="3" w:lineRule="exact"/>
        <w:rPr>
          <w:rFonts w:ascii="Times New Roman" w:cs="Times New Roman" w:eastAsia="Times New Roman" w:hAnsi="Times New Roman"/>
          <w:sz w:val="18"/>
          <w:szCs w:val="18"/>
          <w:color w:val="auto"/>
        </w:rPr>
      </w:pPr>
    </w:p>
    <w:p>
      <w:pPr>
        <w:ind w:left="660" w:right="120" w:hanging="4"/>
        <w:spacing w:after="0" w:line="250" w:lineRule="auto"/>
        <w:tabs>
          <w:tab w:leader="none" w:pos="87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Formela expressly disclaim beneficial ownership of the shares owned by AVO II, except to the extent of his pecuniary interest therein, if any. The mailing address of Atlas is 300 Technology Square, 8th Floor, Cambridge, MA 02139.</w:t>
      </w:r>
    </w:p>
    <w:p>
      <w:pPr>
        <w:jc w:val="both"/>
        <w:ind w:left="660" w:right="20" w:hanging="544"/>
        <w:spacing w:after="0" w:line="265" w:lineRule="auto"/>
        <w:tabs>
          <w:tab w:leader="none" w:pos="6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1,072,936 shares of our common stock held by New Enterprise 17 Associates 17, L.P., or New Enterprise 17, and 1,337 shares of our common stock held by NEA Ventures 2019, L.P. The general partner of New Enterprise 17 is NEA 17 LP, and the general partner of NEA 17 LP is NEA 17 LLC. The managers of NEA 17 LLC are Forest Baskett, Ali Behbahani, M.D., Carmen Chang, Anthony A. Florence, Jr., Mohamad</w:t>
      </w:r>
    </w:p>
    <w:p>
      <w:pPr>
        <w:jc w:val="both"/>
        <w:ind w:left="660" w:right="40" w:hanging="4"/>
        <w:spacing w:after="0" w:line="250" w:lineRule="auto"/>
        <w:tabs>
          <w:tab w:leader="none" w:pos="8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Makhzoumi, Edward T. Mathers, Scott D. Sandell, Paul Walker and Rick Yang. Dr. Behbahani is a member of NEA 17 LLC and a member of Korro Bio’s board of directors. Each of NEA 17 LP and NEA 17 LLC may be deemed to beneficially own the shares held by New Enterprise 17. The address of the principal business office of New Enterprise 17, NEA 17 LP, NEA 17 LLC and Mr. Sandell is New Enterprise Associates,</w:t>
      </w:r>
    </w:p>
    <w:p>
      <w:pPr>
        <w:spacing w:after="0" w:line="1" w:lineRule="exact"/>
        <w:rPr>
          <w:rFonts w:ascii="Times New Roman" w:cs="Times New Roman" w:eastAsia="Times New Roman" w:hAnsi="Times New Roman"/>
          <w:sz w:val="18"/>
          <w:szCs w:val="18"/>
          <w:color w:val="auto"/>
        </w:rPr>
      </w:pPr>
    </w:p>
    <w:p>
      <w:pPr>
        <w:ind w:left="660" w:righ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1954 Greenspring Drive, Suite 600, Timonium, MD 21093. The address of the principal business office of Dr. Behbahani and Mr. Mathers is New Enterprise Associates, 5425 Wisconsin Avenue, Suite 800, Chevy Chase, MD 20815. The address of the principal business office of</w:t>
      </w:r>
    </w:p>
    <w:p>
      <w:pPr>
        <w:ind w:left="6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Baskett, Ms. Chang, Mr. Makhzoumi, Mr. Walker and Mr. Yang is New Enterprise Associates, 2855 Sand Hill Road, Menlo Park, California 94025. The address of the principal business office of Mr. Florence is New Enterprise Associates, 104 5th Avenue, 19th Floor, New York, NY 10001.</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180,884 shares of our common stock held by Fidelity Select Portfolios: Biotechnology Portfolio, (ii) 40,253 shares of our</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by Fidelity Mt. Vernon Street Trust: Fidelity Series Growth Company Fund, (iii) 197,128 shares of our common stock held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Fidelity Mt. Vernon Street Trust: Fidelity Growth Company Fund, (iv) 250,912 shares of our common stock held by Fidelity Growth</w:t>
      </w:r>
    </w:p>
    <w:p>
      <w:pPr>
        <w:spacing w:after="0" w:line="9"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Commingled Pool and (v) 58,028 shares of our common stock held by Fidelity Mt. Vernon Street Trust: Fidelity Growth Company K6 Fund. All of the foregoing securities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3" w:lineRule="exact"/>
        <w:rPr>
          <w:rFonts w:ascii="Times New Roman" w:cs="Times New Roman" w:eastAsia="Times New Roman" w:hAnsi="Times New Roman"/>
          <w:sz w:val="18"/>
          <w:szCs w:val="18"/>
          <w:color w:val="auto"/>
        </w:rPr>
      </w:pPr>
    </w:p>
    <w:p>
      <w:pPr>
        <w:ind w:left="660" w:right="100" w:hanging="544"/>
        <w:spacing w:after="0" w:line="255"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546,325 shares of our common stock held by Mutual Fund Series Trust, on behalf of Eventide. Eventide Asset Management, LLC is the investment advisor to Eventide. Robin C. John is the Chief Executive Officer of Eventide Asset Management, LLC and Finny Kuruvilla, M.D., Ph.D. is a Co-Chief Investment Officer and Managing Director of Eventide Asset Management, LLC. In their corporate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82"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660" w:right="260"/>
        <w:spacing w:after="0" w:line="255" w:lineRule="auto"/>
        <w:rPr>
          <w:sz w:val="20"/>
          <w:szCs w:val="20"/>
          <w:color w:val="auto"/>
        </w:rPr>
      </w:pPr>
      <w:r>
        <w:rPr>
          <w:rFonts w:ascii="Times New Roman" w:cs="Times New Roman" w:eastAsia="Times New Roman" w:hAnsi="Times New Roman"/>
          <w:sz w:val="18"/>
          <w:szCs w:val="18"/>
          <w:color w:val="auto"/>
        </w:rPr>
        <w:t>capacity for Eventide Asset Management, LLC, Mr. John and Dr. Kuruvilla hold voting and/or dispositive power over the shares held by Eventide. Mr. John and Dr. Kuruvilla disclaim beneficial ownership of such shares except to the extent of their pecuniary interest therein. The address for Eventide, Mr. John and Dr. Kuruvilla is U.S. Bank Trust Services, Physical Processing, MK-WI S302, 1555 N RiverCenter Drive, Suite 302, Milwaukee, WI 53212.</w:t>
      </w:r>
    </w:p>
    <w:p>
      <w:pPr>
        <w:spacing w:after="0" w:line="3" w:lineRule="exact"/>
        <w:rPr>
          <w:sz w:val="20"/>
          <w:szCs w:val="20"/>
          <w:color w:val="auto"/>
        </w:rPr>
      </w:pPr>
    </w:p>
    <w:p>
      <w:pPr>
        <w:ind w:left="660" w:hanging="544"/>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276,831 shares of our common stock held by Point72 Biotech Private Investments, LLC, or Point72 Biotech, and 265,826 shares of our common stock held by Point72 Associates, LLC, or Point72 Associates. Differentiated Ventures Investments, LLC, or Differentiated Ventures, is the managing member of Point72 Biotech and may be deemed to share beneficial ownership of the shares held by Point72 Biotech. 72 Investment Holdings, LLC, or 72 Investment Holdings, is the sole member of Differentiated Ventures and may be deemed to share beneficial ownership of the shares of which Differentiated Ventures may be deemed to share beneficial ownership. Steven A. Cohen, or Mr. Cohen, is the sole member of 72 Investment Holdings and may be deemed to share beneficial ownership of the shares of which 72 Investment Holdings may be deemed to share beneficial ownership. Each of Differentiated Ventures, 72 Investment Holdings and Mr. Cohen disclaims beneficial ownership of the shares held by Point72 Biotech. Pursuant to an investment management agreement, Point72 Asset Management, L.P., or Point72 Asset Management, maintains investment and voting power with respect to the shares held by Point72 Associates and therefore may be deemed to share beneficial ownership of such shares. Point72 Capital Advisors, Inc., or Point72 Capital Advisors, is the general partner of Point72 Asset Management and may be deemed to share beneficial ownership of the shares of which Point72 Asset Management may be deemed to share beneficial ownership. Mr. Cohen is the sole member of Point72 Capital Advisors and may be deemed to share beneficial ownership of the shares of which Point72 Capital Advisors may be deemed to share beneficial ownership. Each of Point72 Asset Management, Point72 Capital Advisors and Mr. Cohen disclaims beneficial ownership of the shares held by Point72 Associates. The address for Point72 Biotech and Point72 Associates is c/o Point72, L.P., 72 Cummings Point Road, Stamford, CT 06902.</w:t>
      </w:r>
    </w:p>
    <w:p>
      <w:pPr>
        <w:spacing w:after="0" w:line="5" w:lineRule="exact"/>
        <w:rPr>
          <w:rFonts w:ascii="Times New Roman" w:cs="Times New Roman" w:eastAsia="Times New Roman" w:hAnsi="Times New Roman"/>
          <w:sz w:val="18"/>
          <w:szCs w:val="18"/>
          <w:color w:val="auto"/>
        </w:rPr>
      </w:pPr>
    </w:p>
    <w:p>
      <w:pPr>
        <w:jc w:val="both"/>
        <w:ind w:left="660" w:right="160" w:hanging="544"/>
        <w:spacing w:after="0" w:line="265" w:lineRule="auto"/>
        <w:tabs>
          <w:tab w:leader="none" w:pos="6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540,165 shares of our common stock held by Platanus Investment LLC, or Platanus. Xinyi Cai is the director of Platanus and holds voting and dispositive power over the securities owned by Platanus. The address for Platanus is 3 E 3rd Ave, Suite 200, San Mateo, CA 94401.</w:t>
      </w:r>
    </w:p>
    <w:p>
      <w:pPr>
        <w:ind w:left="660" w:right="160" w:hanging="544"/>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jointly filed by Citadel Advisors LLC, or Citadel Advisors, Citadel Advisors Holdings LP, or CAH, Citadel GP LLC, or CGP, Citadel Securities LLC, or Citadel Securities, Citadel Securities Group LP, or CALC4, Citadel Securities GP LLC, or CSGP, and Mr. Kenneth Griffin, or collectively with Citadel Advisors, CAH, CGP, Citadel Securities, CALC4 and CSGP, the Citadel Reporting Persons, with respect to shares owned by Citadel Multi-Strategy Equities Master Fund Ltd., a Cayman Islands company, or CM, Citadel CEMF Investments Ltd., a Cayman Islands limited company, or CCIL, Citadel Securities and CRBU Holdings LLC, a Delaware limited liability company, or CRBH. Citadel Advisors is the portfolio manager for CM and CCIL.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 The address of each of the Citadel Reporting Persons is Southeast Financial Center, 200 S. Biscayne Blvd., Suite 3300, Miami, FL 33131.</w:t>
      </w:r>
    </w:p>
    <w:p>
      <w:pPr>
        <w:spacing w:after="0" w:line="3" w:lineRule="exact"/>
        <w:rPr>
          <w:rFonts w:ascii="Times New Roman" w:cs="Times New Roman" w:eastAsia="Times New Roman" w:hAnsi="Times New Roman"/>
          <w:sz w:val="18"/>
          <w:szCs w:val="18"/>
          <w:color w:val="auto"/>
        </w:rPr>
      </w:pPr>
    </w:p>
    <w:p>
      <w:pPr>
        <w:jc w:val="both"/>
        <w:ind w:left="660" w:right="280" w:hanging="544"/>
        <w:spacing w:after="0" w:line="265" w:lineRule="auto"/>
        <w:tabs>
          <w:tab w:leader="none" w:pos="6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462,052 shares of our common stock held by Cormorant Global Healthcare Master Fund, LP, or Master Fund, and (ii) 217,118 shares of our common stock held by Cormorant Private Healthcare Fund II, LP, or Fund II. Cormorant Global Healthcare GP, LLC, or Global GP, and Cormorant Private Healthcare GP II, LLC, or Private GP II, serve as the general partner of Master Fund and Fund II, respectively.</w:t>
      </w:r>
    </w:p>
    <w:p>
      <w:pPr>
        <w:ind w:left="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Cormorant Asset Management, LP serves as the investment manager to Master Fund and Fund II. Bihua Chen serves as the managing member of Global GP, Private GP II and Cormorant Asset Management, LP. Each of Global GP, Private GP II, Cormorant Asset Management, LP and</w:t>
      </w:r>
    </w:p>
    <w:p>
      <w:pPr>
        <w:ind w:left="660" w:right="4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Chen disclaims beneficial ownership of such shares except to the extent of any pecuniary interest therein. The principal address for the Cormorant Asset Management LP entities is 200 Clarendon Street 52nd Floor, Boston, Massachusetts 02116.</w:t>
      </w:r>
    </w:p>
    <w:p>
      <w:pPr>
        <w:ind w:left="660" w:hanging="544"/>
        <w:spacing w:after="0" w:line="255"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418,605 shares of our common stock held by Invus Public Equities L.P., or Invus. Invus Public Equities Advisors, LLC, or Invus PE Advisors, controls Invus, as its general partner and accordingly, may be deemed to beneficially own the shares held by Invus. The Geneva branch of Artal International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82"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S.C.A., or Artal International, controls Invus PE Advisors, as its managing member and accordingly, may be deemed to beneficially own the shares held by Invus. Artal International Management S.A., or Artal International Management, as the managing partner of Artal International, controls Artal International and accordingly, may be deemed to beneficially own the shares that Artal International may be deemed to beneficially own. Artal Group S.A., or Artal Group, as the sole stockholder of Artal International Management, controls Artal International Management and accordingly, may be deemed to beneficially own the shares that Artal International Management may be deemed to beneficially own. Westend S.A., or Westend, as the parent company of Artal Group, controls Artal Group and accordingly, may be deemed to beneficially own the shares that Artal Group may be deemed to beneficially own. Stichting Administratiekantoor Westend, or the Stichting, as majority shareholder of Westend, controls Westend and accordingly, may be deemed to beneficially own the shares that Westend may be deemed to beneficially own. Mr. Amaury Wittouck, as the sole member of the board of the Stichting, controls the Stichting and accordingly, may be deemed to beneficially own the shares that the Stichting may be deemed to beneficially own. The address for Invus and Invus PE Advisors is 750 Lexington Avenue, 30th Floor, New York, NY 10022. The address for Artal International, Artal International Management, Artal Group, Westend and Mr. Wittouck is Valley Park, 44, Rue de la Vallée, L-2661, Luxembourg. The address for the Stichting is Claude Debussylaan, 46, 1082 MD Amsterdam, The Netherlands. The address for Invus is 750 Lexington Avenue, New York, NY 10022.</w:t>
      </w:r>
    </w:p>
    <w:p>
      <w:pPr>
        <w:spacing w:after="0" w:line="1" w:lineRule="exact"/>
        <w:rPr>
          <w:sz w:val="20"/>
          <w:szCs w:val="20"/>
          <w:color w:val="auto"/>
        </w:rPr>
      </w:pPr>
    </w:p>
    <w:p>
      <w:pPr>
        <w:ind w:left="660" w:right="14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41,440 shares of our common stock underlying options that are exercisable or will become exercisable within 60 days of November 24, 2023.</w:t>
      </w:r>
    </w:p>
    <w:p>
      <w:pPr>
        <w:ind w:left="660" w:right="8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4,613 shares of our common stock held by The Ram Aiyar Irrevocable Trust, or the Trust, and (ii) 139,532 shares of our common stock underlying options that are exercisable or will become exercisable within 60 days of November 24, 2023. The address of the Trust is c/o Steven M. Burke, P.O. Box 326, Manchester, NH 03105.</w:t>
      </w:r>
    </w:p>
    <w:p>
      <w:pPr>
        <w:spacing w:after="0" w:line="1" w:lineRule="exact"/>
        <w:rPr>
          <w:rFonts w:ascii="Times New Roman" w:cs="Times New Roman" w:eastAsia="Times New Roman" w:hAnsi="Times New Roman"/>
          <w:sz w:val="18"/>
          <w:szCs w:val="18"/>
          <w:color w:val="auto"/>
        </w:rPr>
      </w:pPr>
    </w:p>
    <w:p>
      <w:pPr>
        <w:ind w:left="660" w:right="30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35,114 shares of our common stock and (ii) 75,813 shares of our common stock underlying options that are exercisable or will become exercisable within 60 days of November 24, 2023.</w:t>
      </w:r>
    </w:p>
    <w:p>
      <w:pPr>
        <w:ind w:left="660" w:right="30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22,150 shares of our common stock and (ii) 35,876 shares of our common stock underlying options that are exercisable or will become exercisable within 60 days of November 24, 2023.</w:t>
      </w:r>
    </w:p>
    <w:p>
      <w:pPr>
        <w:ind w:left="660" w:right="220" w:hanging="544"/>
        <w:spacing w:after="0" w:line="26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61,877 shares of our common stock and (ii) 311,230 shares of our common stock underlying options that are exercisable or will become exercisable within 60 days of November 24, 2023.</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82"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acquired shares of common stock from us in the Merger upon exchange of shares of Legacy Korro acquired from Legacy Korro immediately prior to the Merger pursuant to an exemption from registration under Section 4(a)(2) of the Securities Act. Under the registration rights agreement that we assumed in the Merger, we agreed to file a registration statement with the SEC for the purposes of registering for resale from time to time the shares of common stock.</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Except for the ownership of shares of common stock received in the Merger, the selling stockholders have not had any material relationship with our company within the past three years.</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ownership of the shares of common stock offered hereby. The second column lists the number of shares of common stock beneficially owned by the selling stockholders as of November 3, 2023 immediately following consummation of the Merger.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8,001,283 shares of common stock outstanding as of November 3, 2023 immediately following consummation of the Merger.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9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16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8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8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920" w:type="dxa"/>
            <w:vAlign w:val="bottom"/>
            <w:gridSpan w:val="4"/>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54"/>
        </w:trPr>
        <w:tc>
          <w:tcPr>
            <w:tcW w:w="6860" w:type="dxa"/>
            <w:vAlign w:val="bottom"/>
          </w:tcPr>
          <w:p>
            <w:pPr>
              <w:spacing w:after="0"/>
              <w:rPr>
                <w:sz w:val="4"/>
                <w:szCs w:val="4"/>
                <w:color w:val="auto"/>
              </w:rPr>
            </w:pPr>
          </w:p>
        </w:tc>
        <w:tc>
          <w:tcPr>
            <w:tcW w:w="116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8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86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6860" w:type="dxa"/>
            <w:vAlign w:val="bottom"/>
          </w:tcPr>
          <w:p>
            <w:pPr>
              <w:spacing w:after="0"/>
              <w:rPr>
                <w:sz w:val="6"/>
                <w:szCs w:val="6"/>
                <w:color w:val="auto"/>
              </w:rPr>
            </w:pPr>
          </w:p>
        </w:tc>
        <w:tc>
          <w:tcPr>
            <w:tcW w:w="116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8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70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16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vMerge w:val="restart"/>
          </w:tcPr>
          <w:p>
            <w:pPr>
              <w:spacing w:after="0"/>
              <w:rPr>
                <w:sz w:val="4"/>
                <w:szCs w:val="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73"/>
        </w:trPr>
        <w:tc>
          <w:tcPr>
            <w:tcW w:w="6860" w:type="dxa"/>
            <w:vAlign w:val="bottom"/>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3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Hereby(16)</w:t>
            </w:r>
          </w:p>
        </w:tc>
        <w:tc>
          <w:tcPr>
            <w:tcW w:w="3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Atlas Venture(1)</w:t>
            </w:r>
          </w:p>
        </w:tc>
        <w:tc>
          <w:tcPr>
            <w:tcW w:w="7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1,119,292</w:t>
            </w:r>
          </w:p>
        </w:tc>
        <w:tc>
          <w:tcPr>
            <w:tcW w:w="3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942,075</w:t>
            </w:r>
          </w:p>
        </w:tc>
        <w:tc>
          <w:tcPr>
            <w:tcW w:w="3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New Enterprise Associates 17, L.P.(2)</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1,074,273</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177,217</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897,056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Select Portfolios: Biotechnology Portfolio(3)</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180,884</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88,608</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92,276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Fidelity Mt. Vernon Street Trust: Fidelity Series Growth Company Fund(3)</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40,253</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16,996</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23,257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Fund(3)</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197,128</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58,740</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138,388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Fidelity Growth Company Commingled Pool(3)</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250,912</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79,990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170,922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K6 Fund(3)</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58,028</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21,489</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36,539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 Fund(4)</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546,325</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177,217</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369,108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Point72 Asset Management(5)</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542,657</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265,826</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276,831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Platanus Investment LLC(6)</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540,165</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8,860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531,305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Citadel CEMF Investments Ltd.(7)</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265,826</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265,826</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Cormorant(8)</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529,170</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265,826</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263,344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46"/>
        </w:trPr>
        <w:tc>
          <w:tcPr>
            <w:tcW w:w="686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200</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9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6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9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920" w:type="dxa"/>
            <w:vAlign w:val="bottom"/>
            <w:gridSpan w:val="4"/>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9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6920" w:type="dxa"/>
            <w:vAlign w:val="bottom"/>
          </w:tcPr>
          <w:p>
            <w:pPr>
              <w:spacing w:after="0"/>
              <w:rPr>
                <w:sz w:val="6"/>
                <w:szCs w:val="6"/>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6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70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12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4"/>
                <w:szCs w:val="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73"/>
        </w:trPr>
        <w:tc>
          <w:tcPr>
            <w:tcW w:w="692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Hereby(16)</w:t>
            </w:r>
          </w:p>
        </w:tc>
        <w:tc>
          <w:tcPr>
            <w:tcW w:w="3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Invus Public Equities, L.P.(9)</w:t>
            </w: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418,605</w:t>
            </w:r>
          </w:p>
        </w:tc>
        <w:tc>
          <w:tcPr>
            <w:tcW w:w="3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3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276,831</w:t>
            </w:r>
          </w:p>
        </w:tc>
        <w:tc>
          <w:tcPr>
            <w:tcW w:w="3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Qiming U.S. Healthcare Fund II, L.P.(10)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368,085</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35,443</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332,642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Monashee Investment Management(11)</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90,805</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35,441</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55,364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Verition Multi-Strategy Master Fund Ltd.(12)</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197,140</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141,774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55,366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Sixty Degree Capital(13)</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31,561</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17,721</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13,840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MP Healthcare Venture Management, Inc.(14)</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197,666</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66,456</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131,210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ExodusPoint Partners Master Fund, L.P.(15)</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35,443</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35,443</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544"/>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660" w:hanging="544"/>
        <w:spacing w:after="0" w:line="250"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942,075 shares held by Atlas Venture Fund XI, L.P., or AVF XI, and 177,217 shares held by Atlas Venture Opportunity Fund II, L.P., or AVO II. Atlas Venture Associates XI, L.P. is the general partner of AVF XI and Atlas Venture Associates XI, LLC is the general partner of Atlas Venture Associates XI, L.P. The members of Atlas Venture Associates XI, LLC collectively make investment decisions on behalf of Atlas Venture Fund XI, LLC. Jean-Francois Formela is a member of Atlas Venture Associates XI, LLC and a member of Korro Bio’s board of directors. Each of AVF XI, Atlas Venture Associates XI, L.P., and Atlas Venture Associates XI, LLC may be deemed to beneficially own the shares held by AVF XI. Mr. Formela expressly disclaim beneficial ownership of the shares owned by AVF XI, except to the extent of his pecuniary interest therein, if any. Atlas Venture Associates Opportunity II, L.P. is the general partner of AVO II, and Atlas Venture Associates Opportunity II, LLC is the general partner of Atlas Venture Associates Opportunity II, L.P. The members of Atlas Venture Associates Opportunity II, LLC collectively make investment decisions on behalf of Atlas Venture Associates Opportunity II, LLC. Mr. Formela is a member of Atlas Venture Associates Opportunity II, LLC. Each of AVO II, Atlas Venture Associates Opportunity II, L.P., and Atlas Venture Associates Opportunity II, LLC may be deemed to beneficially own the shares held by AVO II. Mr. Formela expressly disclaim beneficial ownership of the shares owned by AVO II, except to the extent of his pecuniary interest therein, if any. The mailing address of Atlas is 300 Technology Square, 8th Floor, Cambridge, MA 02139.</w:t>
      </w:r>
    </w:p>
    <w:p>
      <w:pPr>
        <w:spacing w:after="0" w:line="5" w:lineRule="exact"/>
        <w:rPr>
          <w:rFonts w:ascii="Times New Roman" w:cs="Times New Roman" w:eastAsia="Times New Roman" w:hAnsi="Times New Roman"/>
          <w:sz w:val="18"/>
          <w:szCs w:val="18"/>
          <w:color w:val="auto"/>
        </w:rPr>
      </w:pPr>
    </w:p>
    <w:p>
      <w:pPr>
        <w:ind w:left="660" w:right="20" w:hanging="544"/>
        <w:spacing w:after="0" w:line="250"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1,072,936 shares held by New Enterprise Associates 17, L.P., or NEA 17, and 1,337 shares held by NEA Ventures 2019, L.P. The general partner of NEA 17 is NEA Partners 17, L.P., and the general partner of NEA Partners 17, L.P., is NEA 17 GP, LLC. The managers of NEA 17 GP, LLC are Forest Baskett, Ali Behbahani, M.D., Carmen Chang, Anthony A. Florence, Jr., Mohamad H. Makhzoumi, Edward T. Mathers, Scott D. Sandell, Paul Walker and Rick Yang. Dr. Behbahani is a member of NEA 17 GP, LLC and a member of Korro Bio’s board of directors. Each of NEA Partners 17, L.P., and NEA 17 GP, LLC may be deemed to beneficially own the shares held by NEA 17. The address of the principal business office of NEA 17, NEA Partners 17, L.P., NEA 17 GP, LLC and Mr. Sandell is New Enterprise Associates, 1954 Greenspring Drive, Suite 600, Timonium, MD 21093. The address of the principal business office of Dr. Behbahani and Mr. Mathers is New Enterprise Associates, 5425 Wisconsin Avenue, Suite 800, Chevy Chase, MD 20815. The address of the principal business office of Mr. Baskett, Ms. Chang, Mr. Makhzoumi, Mr. Walker and Mr. Yang is New Enterprise Associates, 2855 Sand Hill Road, Menlo Park, California 94025. The address of the principal business office of Mr. Florence is New Enterprise Associates, 104 5th Avenue, 19th Floor, New York, NY 10001.</w:t>
      </w:r>
    </w:p>
    <w:p>
      <w:pPr>
        <w:spacing w:after="0" w:line="4" w:lineRule="exact"/>
        <w:rPr>
          <w:rFonts w:ascii="Times New Roman" w:cs="Times New Roman" w:eastAsia="Times New Roman" w:hAnsi="Times New Roman"/>
          <w:sz w:val="18"/>
          <w:szCs w:val="18"/>
          <w:color w:val="auto"/>
        </w:rPr>
      </w:pPr>
    </w:p>
    <w:p>
      <w:pPr>
        <w:ind w:left="660" w:right="180" w:hanging="544"/>
        <w:spacing w:after="0" w:line="255"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accounts are managed by direct or indirect subsidiaries of FMR LLC. The shares listed above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82"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5" w:lineRule="exact"/>
        <w:rPr>
          <w:sz w:val="20"/>
          <w:szCs w:val="20"/>
          <w:color w:val="auto"/>
        </w:rPr>
      </w:pPr>
    </w:p>
    <w:p>
      <w:pPr>
        <w:ind w:left="660" w:right="140" w:hanging="544"/>
        <w:spacing w:after="0" w:line="265" w:lineRule="auto"/>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listed under “Number of Shares Beneficially Owned Before Offering” consists of 546,325 shares held by Mutual Fund Series Trust, on behalf of Eventide Healthcare &amp; Life Sciences Fund, or Eventide. Eventide Asset Management, LLC is the investment advisor to Eventide. Robin C. John is the Chief Executive Officer of Eventide Asset Management, LLC and Finny Kuruvilla, M.D., Ph.D. is a Co-Chief Investment Officer and Managing Director of Eventide Asset Management, LLC. In their corporate capacity for Eventide Asset Management, LLC,</w:t>
      </w:r>
    </w:p>
    <w:p>
      <w:pPr>
        <w:ind w:left="660" w:right="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John and Dr. Kuruvilla hold voting and/or dispositive power over the shares held by Eventide. Mr. John and Dr. Kuruvilla disclaim beneficial ownership of such shares except to the extent of their pecuniary interest therein. The address for Eventide, Mr. John and Dr. Kuruvilla is U.S. Bank Trust Services, Physical Processing, MK-WI S302, 1555 N RiverCenter Drive, Suite 302, Milwaukee, WI 53212.</w:t>
      </w:r>
    </w:p>
    <w:p>
      <w:pPr>
        <w:spacing w:after="0" w:line="1" w:lineRule="exact"/>
        <w:rPr>
          <w:rFonts w:ascii="Times New Roman" w:cs="Times New Roman" w:eastAsia="Times New Roman" w:hAnsi="Times New Roman"/>
          <w:sz w:val="17"/>
          <w:szCs w:val="17"/>
          <w:color w:val="auto"/>
        </w:rPr>
      </w:pPr>
    </w:p>
    <w:p>
      <w:pPr>
        <w:ind w:left="660" w:hanging="544"/>
        <w:spacing w:after="0" w:line="250"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276,831 shares held by Point72 Biotech Private Investments, LLC, or Point72 Biotech, and (ii) 265,826 shares held by Point72 Associates, LLC, or Point72 Associates. Differentiated Ventures Investments, LLC, or Differentiated Ventures, is the managing member of Point72 Biotech and may be deemed to share beneficial ownership of the shares held by Point72 Biotech. 72 Investment Holdings, LLC, or 72 Investment Holdings, is the sole member of Differentiated Ventures and may be deemed to share beneficial ownership of the shares of which Differentiated Ventures may be deemed to share beneficial ownership. Steven A. Cohen, or Mr. Cohen, is the sole member of 72 Investment Holdings and may be deemed to share beneficial ownership of the shares of which 72 Investment Holdings may be deemed to share beneficial ownership. Each of Differentiated Ventures, 72 Investment Holdings and Mr. Cohen disclaims beneficial ownership of the shares held by Point72 Biotech. Pursuant to an investment management agreement, Point72 Asset Management, L.P., or Point72 Asset Management, maintains investment and voting power with respect to the shares held by Point72 Associates and therefore may be deemed to share beneficial ownership of such shares. Point72 Capital Advisors, Inc., or Point72 Capital Advisors, is the general partner of Point72 Asset Management and may be deemed to share beneficial ownership of the shares of which Point72 Asset Management may be deemed to share beneficial ownership. Mr. Cohen is the sole member of Point72 Capital Advisors and may be deemed to share beneficial ownership of the shares of which Point72 Capital Advisors may be deemed to share beneficial ownership. Each of Point72 Asset Management, Point72 Capital Advisors and Mr. Cohen disclaims beneficial ownership of the shares held by Point72 Associates. The address for Point72 Biotech and Point72 Associates is c/o Point72, L.P., 72 Cummings Point Road, Stamford, CT 06902.</w:t>
      </w:r>
    </w:p>
    <w:p>
      <w:pPr>
        <w:spacing w:after="0" w:line="5" w:lineRule="exact"/>
        <w:rPr>
          <w:rFonts w:ascii="Times New Roman" w:cs="Times New Roman" w:eastAsia="Times New Roman" w:hAnsi="Times New Roman"/>
          <w:sz w:val="18"/>
          <w:szCs w:val="18"/>
          <w:color w:val="auto"/>
        </w:rPr>
      </w:pPr>
    </w:p>
    <w:p>
      <w:pPr>
        <w:ind w:left="660" w:right="240" w:hanging="544"/>
        <w:spacing w:after="0" w:line="250"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540,165 shares held by Platanus Investment LLC, or Platanus. Xinyi Cai is the director of Platanus and holds voting and dispositive power over the securities owned by Platanus. The address for Platanus is 3 E 3rd Ave, Suite 200, San Mateo, CA 94401.</w:t>
      </w:r>
    </w:p>
    <w:p>
      <w:pPr>
        <w:spacing w:after="0" w:line="1" w:lineRule="exact"/>
        <w:rPr>
          <w:rFonts w:ascii="Times New Roman" w:cs="Times New Roman" w:eastAsia="Times New Roman" w:hAnsi="Times New Roman"/>
          <w:sz w:val="18"/>
          <w:szCs w:val="18"/>
          <w:color w:val="auto"/>
        </w:rPr>
      </w:pPr>
    </w:p>
    <w:p>
      <w:pPr>
        <w:ind w:left="660" w:hanging="544"/>
        <w:spacing w:after="0" w:line="25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265,826 shares held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covered by this registration statement. This response is not and shall not be construed as an admission that Mr. Griffin or any of the Citadel related entities listed above is the beneficial owner of any securities of the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82"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660" w:right="640"/>
        <w:spacing w:after="0" w:line="261" w:lineRule="auto"/>
        <w:rPr>
          <w:sz w:val="20"/>
          <w:szCs w:val="20"/>
          <w:color w:val="auto"/>
        </w:rPr>
      </w:pPr>
      <w:r>
        <w:rPr>
          <w:rFonts w:ascii="Times New Roman" w:cs="Times New Roman" w:eastAsia="Times New Roman" w:hAnsi="Times New Roman"/>
          <w:sz w:val="18"/>
          <w:szCs w:val="18"/>
          <w:color w:val="auto"/>
        </w:rPr>
        <w:t>Company other than the securities actually owned by such person (if any). The address of Citadel CEMF Investments Ltd. is c/o Citadel Enterprise Americas, Southeast Financial Center, 200 S. Biscayne Blvd., Suite 3300, Miami, FL 33131.</w:t>
      </w:r>
    </w:p>
    <w:p>
      <w:pPr>
        <w:ind w:left="660" w:right="100" w:hanging="544"/>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312,052 shares held by Cormorant Global Healthcare Master Fund, LP, or Master Fund, and (ii) 217,118 shares held by Cormorant Private Healthcare Fund II, LP, or Fund II. Cormorant Global Healthcare GP, LLC, or Global GP, and Cormorant Private Healthcare GP II, LLC, or Private GP II, serve as the general partner of Master Fund and Fund II, respectively. Cormorant Asset Management, LP serves as the investment manager to Master Fund and Fund II. Bihua Chen serves as the managing member of Global GP, Private GP II and Cormorant Asset Management, LP. Each of Global GP, Private GP II, Cormorant Asset Management, LP and Ms. Chen disclaims beneficial ownership of such shares except to the extent of any pecuniary interest therein. The principal address for the Cormorant Asset Management LP entities is 200 Clarendon Street 52nd Floor, Boston, Massachusetts 02116.</w:t>
      </w:r>
    </w:p>
    <w:p>
      <w:pPr>
        <w:spacing w:after="0" w:line="3" w:lineRule="exact"/>
        <w:rPr>
          <w:rFonts w:ascii="Times New Roman" w:cs="Times New Roman" w:eastAsia="Times New Roman" w:hAnsi="Times New Roman"/>
          <w:sz w:val="18"/>
          <w:szCs w:val="18"/>
          <w:color w:val="auto"/>
        </w:rPr>
      </w:pPr>
    </w:p>
    <w:p>
      <w:pPr>
        <w:ind w:left="660" w:right="40" w:hanging="544"/>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418,605 shares held by Invus Public Equities L.P., or Invus. Invus Public Equities Advisors, LLC, or Invus PE Advisors, controls Invus, as its general partner and accordingly, may be deemed to beneficially own the shares held by Invus. The Geneva branch of Artal International S.C.A., or Artal International, controls Invus PE Advisors, as its managing member and accordingly, may be deemed to beneficially own the shares held by Invus. Artal International Management S.A., or Artal International Management, as the managing partner of Artal International, controls Artal International and accordingly, may be deemed to beneficially own the shares that Artal International may be deemed to beneficially own. Artal Group S.A., or Artal Group, as the sole stockholder of Artal International Management, controls Artal International Management and accordingly, may be deemed to beneficially own the shares that Artal International Management may be deemed to beneficially own. Westend S.A., or Westend, as the parent company of Artal Group, controls Artal Group and accordingly, may be deemed to beneficially own the shares that Artal Group may be deemed to beneficially own. Stichting Administratiekantoor Westend, or the Stichting, as majority shareholder of Westend, controls Westend and accordingly, may be deemed to beneficially own the shares that Westend may be deemed to beneficially own. Mr. Amaury Wittouck, as the sole member of the board of the Stichting, controls the Stichting and accordingly, may be deemed to beneficially own the shares that the Stichting may be deemed to beneficially own. The address for Invus and Invus PE Advisors is 750 Lexington Avenue, 30th Floor, New York, NY 10022. The address for Artal International, Artal International Management, Artal Group, Westend and Mr. Wittouck is Valley Park, 44, Rue de la Vallée, L-2661, Luxembourg. The address for the Stichting is Claude Debussylaan, 46, 1082 MD Amsterdam, The Netherlands.</w:t>
      </w:r>
    </w:p>
    <w:p>
      <w:pPr>
        <w:spacing w:after="0" w:line="5"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368,085 shares held by Qiming U.S. Healthcare Fund II, L.P, or Qiming. Qiming U.S. Healthcare GP II, LLC, or Qiming GP, serves as the sole general partner of Qiming. As such, Qiming GP possesses power to direct the voting and disposition of the shares owned by Qiming and may be deemed to have indirect beneficial ownership of the shares held by Qiming. Mark McDade and Gary Rieschel are the managing partners of Qiming GP. As such, each of Mark McDade and Gary Rieschel possesses power to direct the voting and disposition of the shares owned by Qiming and may be deemed to have indirect beneficial ownership of these shares.</w:t>
      </w:r>
    </w:p>
    <w:p>
      <w:pPr>
        <w:spacing w:after="0" w:line="2" w:lineRule="exact"/>
        <w:rPr>
          <w:rFonts w:ascii="Times New Roman" w:cs="Times New Roman" w:eastAsia="Times New Roman" w:hAnsi="Times New Roman"/>
          <w:sz w:val="18"/>
          <w:szCs w:val="18"/>
          <w:color w:val="auto"/>
        </w:rPr>
      </w:pPr>
    </w:p>
    <w:p>
      <w:pPr>
        <w:ind w:left="660" w:right="20" w:hanging="544"/>
        <w:spacing w:after="0" w:line="251"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33,520 shares held by DS Liquid Div RVA MON LLC, or MON LLC, (ii) 34,603 shares held by Monashee Solitario Fund LP., or Monashee LP, (iii) 6,379 shares held by BEMAP Master Fund Ltd., or BEMAP, (iv) 6,734 shares held by Monashee Pure Alpha SPV I LP, or Alpha SPV, (v) 7,443 shares held by Blackstone CSP-MST FMAP Fund, or Blackstone Fund, and (vi) 2,126 shares held by Mission Pure Alpha LP, or Pure Alpha LP. Jeff Muller, as the COO of Monashee Investment Management LLC, has voting and/or dispositive power over the shares held by MON LLC, Monashee LP, BEMAP, Alpha SPV, Blackstone Fund and Pure Alpha LP. Jeff Muller, as the COO of Monashee Investment Management LLC, has voting and/or dispositive power over the shares held by MON LLC, Monashee LP, BEMAP, Alpha SPV, Blackstone Fund and Pure Alpha LP. Jeff Muller, however, disclaims any beneficial ownership of the shares held by these entities.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00"/>
          </w:cols>
          <w:pgMar w:left="320" w:top="482" w:right="4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660" w:hanging="544"/>
        <w:spacing w:after="0" w:line="254"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197,140 held by Verition Multi-Strategy Master Fund Ltd., or Verition. Verition Fund Management LLC, as the investment manager of Verition, may be deemed to have voting and investment control over these securities. Nicholas Maounis, through ownership of the managing member of Verition Fund Management LLC, may be deemed to have voting and investment control with respect to these securities. Verition Fund Management LLC, its managing member and Mr. Maounis disclaim beneficial ownership over these securities, except to the extent of their pecuniary interest therein.</w:t>
      </w:r>
    </w:p>
    <w:p>
      <w:pPr>
        <w:spacing w:after="0" w:line="3" w:lineRule="exact"/>
        <w:rPr>
          <w:rFonts w:ascii="Times New Roman" w:cs="Times New Roman" w:eastAsia="Times New Roman" w:hAnsi="Times New Roman"/>
          <w:sz w:val="18"/>
          <w:szCs w:val="18"/>
          <w:color w:val="auto"/>
        </w:rPr>
      </w:pPr>
    </w:p>
    <w:p>
      <w:pPr>
        <w:ind w:left="660" w:right="60" w:hanging="544"/>
        <w:spacing w:after="0" w:line="250"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26,941 shares held by Sixty Degree Capital Fund II-A, L.P., or Sixty Degree Fund II-A, and (ii) 4,620 shares held by Sixty Degree Capital Fund II, L.P., or Sixty Degree Fund II. The general partner of Sixty Degree Fund II-A and of Sixty Degree Fund II is Sixty Degree Capital Fund II GP Inc. The manager of Sixty Degree Fund II-A and of Sixty Degree Fund II is Sixty Degree Capital Inc. Each of Sixty Degree Capital Inc. and Sixty Degree Fund II-A may be deemed to beneficially own the shares held by Sixty Degree Fund II-A and each of Sixty Degree Capital Inc. and Sixty Degree Fund II may be deemed to beneficially own the shares held by Sixty Degree Fund II. The address of the principal business office of Sixty Degree Fund II-A, Sixty Degree Fund II, Sixty Degree Capital Fund II GP Inc. and Sixty Degree Capital Inc. is 251 Consumers Rd, #1100, Toronto, ON Canada M2J 4R3.</w:t>
      </w:r>
    </w:p>
    <w:p>
      <w:pPr>
        <w:spacing w:after="0" w:line="2" w:lineRule="exact"/>
        <w:rPr>
          <w:rFonts w:ascii="Times New Roman" w:cs="Times New Roman" w:eastAsia="Times New Roman" w:hAnsi="Times New Roman"/>
          <w:sz w:val="18"/>
          <w:szCs w:val="18"/>
          <w:color w:val="auto"/>
        </w:rPr>
      </w:pPr>
    </w:p>
    <w:p>
      <w:pPr>
        <w:ind w:left="660" w:right="120" w:hanging="544"/>
        <w:spacing w:after="0" w:line="250"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 of 197,666 shares held by MP Healthcare Venture Management, Inc., or MP Healthcare. Mitsubishi Tanabe Pharma America, Inc. is the sole shareholder of MP Healthcare. Mitsubishi Tanabe Pharma Corporation is the sole shareholder of Mitsubishi Tanabe Pharma America, Inc. Mitsubishi Chemical Group Corporation is the sole shareholder of Mitsubishi Tanabe Pharma Corporation. As a result, Mitsubishi Tanabe Pharma America, Inc., Mitsubishi Tanabe Pharma Corporation and Mitsubishi Chemical Group Corporation may be deemed to share beneficial ownership of the shares held by MP Healthcare. The principal business address of MP Healthcare is 33 Arch Street, 31st Floor, Boston, MA 02110 and the principal business address of Mitsubishi Tanabe Pharma America, Inc., Mitsubishi Tanabe Pharma Corporation and Mitsubishi Chemical Group Corporation 3-2-10, Dosho-machi, Chuo-ku, Osaka, 541-8505, Japan.</w:t>
      </w:r>
    </w:p>
    <w:p>
      <w:pPr>
        <w:spacing w:after="0" w:line="3"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35,443 shares held by ExodusPoint Partners Master Fund, L.P, or Exodus. ExodusPoint Capital Management, LP acts as the investment manager to Exodus. Michael Gelband and Hyung Lee, the co-founders and Co-Chief Executive Officers of ExodusPoint Capital Management, LP, have voting and investment control of the shares held by Exodus. The business address of Exodus, Michael Gelband and Hyung Lee is 190 Elgin Avenue, George Town, Grant Cayman, Cayman Islands KY1-9008.</w:t>
      </w:r>
    </w:p>
    <w:p>
      <w:pPr>
        <w:spacing w:after="0" w:line="1" w:lineRule="exact"/>
        <w:rPr>
          <w:rFonts w:ascii="Times New Roman" w:cs="Times New Roman" w:eastAsia="Times New Roman" w:hAnsi="Times New Roman"/>
          <w:sz w:val="18"/>
          <w:szCs w:val="18"/>
          <w:color w:val="auto"/>
        </w:rPr>
      </w:pPr>
    </w:p>
    <w:p>
      <w:pPr>
        <w:ind w:left="660" w:right="240" w:hanging="544"/>
        <w:spacing w:after="0" w:line="260"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shares of common stock, including, without limitation, shares of common stock acquired in the open market are being offered under this prospectus.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82"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the Charter and Bylaws and of the DGCL. This description is summarized from, and qualified in its entirety by reference to, the Charter and Bylaws, each of which has been filed as an Exhibit to the registration statement of which this prospectus forms a part, as well as the relevant provisions of the DGCL.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$0.001 per share, and 10,000,000 shares of preferred stock, par value $0.001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matters. The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the Charter. See below under “</w:t>
      </w:r>
      <w:r>
        <w:rPr>
          <w:rFonts w:ascii="Times New Roman" w:cs="Times New Roman" w:eastAsia="Times New Roman" w:hAnsi="Times New Roman"/>
          <w:sz w:val="18"/>
          <w:szCs w:val="18"/>
          <w:i w:val="1"/>
          <w:iCs w:val="1"/>
          <w:color w:val="auto"/>
        </w:rPr>
        <w:t>Anti-takeover effects of Delaware law and Charter and Bylaws-Amendment of charter provisions</w:t>
      </w:r>
      <w:r>
        <w:rPr>
          <w:rFonts w:ascii="Times New Roman" w:cs="Times New Roman" w:eastAsia="Times New Roman" w:hAnsi="Times New Roman"/>
          <w:sz w:val="18"/>
          <w:szCs w:val="18"/>
          <w:color w:val="auto"/>
        </w:rPr>
        <w:t>.” Holders of common stock are entitled to receive proportionately any dividends as may be declared by its board of directors, subject to any preferential dividend rights of any series of preferred stock that we may designate and issue in the future.</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the prior rights of any outstanding preferred stock. Holders of our common stock have no preemptive, subscription, redemption or conversion rights. The rights, preferences and privileges of holders of our common stock are subject to, and may be adversely affected by, the rights of the stockholders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Charter,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our preferred stock.</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our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Charter and Bylaws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Some provisions of Delaware law, Charter and Bylaws could make the following transactions more difficult: an acquisition of us by means of a tender offer; an acquisition of us by means of a proxy contest or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40"/>
          </w:cols>
          <w:pgMar w:left="320" w:top="482" w:right="5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its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Bylaws provide that a special meeting of stockholders may be called only by our chairman of the board of directors, chief executive officer or president (in the absence of a chief executive officer), or by a resolution adopted by a majority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Charter eliminates the right of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its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Charter provides that no member of our board of directors may be removed from office by our stockholders except for cause and, in addition to any other vote required by law, upon the approval of the holders of at least two-thirds in voting power of the outstanding shares of our common stock entitled to vote in the election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Charter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82"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Charter provides that, unless we consent in writing to the selection of an alternative forum, the Court of Chancery of the State of Delaware will, to the fullest extent permitted by applicable law, be the sole and exclusive forum for: (1) any derivative action or proceeding brought on our behalf;</w:t>
      </w:r>
    </w:p>
    <w:p>
      <w:pPr>
        <w:spacing w:after="0" w:line="1" w:lineRule="exact"/>
        <w:rPr>
          <w:sz w:val="20"/>
          <w:szCs w:val="20"/>
          <w:color w:val="auto"/>
        </w:rPr>
      </w:pPr>
    </w:p>
    <w:p>
      <w:pPr>
        <w:ind w:left="120" w:hanging="4"/>
        <w:spacing w:after="0" w:line="251" w:lineRule="auto"/>
        <w:tabs>
          <w:tab w:leader="none" w:pos="37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or other wrongdoing by any of our directors, officers, employees or agents to us or our stockholders; (3) any action asserting a claim against us arising pursuant to any provision of the DGCL or the Charter or Bylaws; (4) any action to interpret, apply, enforce or determine the validity of the Charter or Bylaws; or (5) any action asserting a claim governed by the internal affairs doctrine. Under the Charter, this exclusive forum provision does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The Charter also provides that any person or entity purchasing or otherwise acquiring any interest in shares of its capital stock will be deemed to have notice of and to have consented to this choice of forum provision. The Charter further provides that the federal district courts of the United States will be the exclusive forum for resolving any complaint asserting a cause of action arising under the Securities Act. It is possible that a court of law could rule that the choice of forum provision contained in the Charter is inapplicable or unenforceable if it is challenged in a proceeding or otherwise.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 The provisions of Delaware law, the Charter and Bylaws could have the effect of discouraging others from attempting hostile takeovers and, as a consequence, they may also inhibit temporary fluctuations in the market price of its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00"/>
          </w:cols>
          <w:pgMar w:left="320" w:top="482"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85" w:lineRule="exact"/>
        <w:rPr>
          <w:sz w:val="20"/>
          <w:szCs w:val="20"/>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our voting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82"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entity generally will depend on the status of the partner or member and the activities of the partnership or other pass-through entity. If you are a partner or member of a partnership or other pass-through entity holding our securities, we urge you to consult your tax advisor.</w:t>
      </w:r>
    </w:p>
    <w:p>
      <w:pPr>
        <w:spacing w:after="0" w:line="158"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common stock who or that is,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12" w:lineRule="exact"/>
        <w:rPr>
          <w:sz w:val="20"/>
          <w:szCs w:val="20"/>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280" w:hanging="532"/>
        <w:spacing w:after="0" w:line="266" w:lineRule="auto"/>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74"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Taxation of Distributions</w:t>
      </w:r>
      <w:r>
        <w:rPr>
          <w:rFonts w:ascii="Times New Roman" w:cs="Times New Roman" w:eastAsia="Times New Roman" w:hAnsi="Times New Roman"/>
          <w:sz w:val="17"/>
          <w:szCs w:val="17"/>
          <w:color w:val="auto"/>
        </w:rPr>
        <w:t>. If we pay distributions in cash or other property (other than certain distributions of our stock or rights to acquire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to U.S.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Common Stock. Any remaining excess will be treated as gain realized on the sale or other disposition of the common stock and will be treated as described under “</w:t>
      </w:r>
      <w:r>
        <w:rPr>
          <w:rFonts w:ascii="Times New Roman" w:cs="Times New Roman" w:eastAsia="Times New Roman" w:hAnsi="Times New Roman"/>
          <w:sz w:val="17"/>
          <w:szCs w:val="17"/>
          <w:i w:val="1"/>
          <w:iCs w:val="1"/>
          <w:color w:val="auto"/>
        </w:rPr>
        <w:t>U.S. Holders-Gain or Loss on Sale, Taxable Exchange or Other Taxable Disposition of common stock</w:t>
      </w:r>
      <w:r>
        <w:rPr>
          <w:rFonts w:ascii="Times New Roman" w:cs="Times New Roman" w:eastAsia="Times New Roman" w:hAnsi="Times New Roman"/>
          <w:sz w:val="17"/>
          <w:szCs w:val="17"/>
          <w:color w:val="auto"/>
        </w:rPr>
        <w:t>” below.</w:t>
      </w:r>
    </w:p>
    <w:p>
      <w:pPr>
        <w:spacing w:after="0" w:line="17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w:t>
      </w:r>
      <w:r>
        <w:rPr>
          <w:rFonts w:ascii="Times New Roman" w:cs="Times New Roman" w:eastAsia="Times New Roman" w:hAnsi="Times New Roman"/>
          <w:sz w:val="18"/>
          <w:szCs w:val="18"/>
          <w:color w:val="auto"/>
        </w:rPr>
        <w:t>. Upon a sale or other taxable disposition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 U.S. holder generally will recognize capital gain or loss in an amount equal to the difference between the amount realized and the U.S. holder’s adjusted tax basis in the common stock. Any such capital gain or loss generally will be long-term capital gain or loss if the U.S. 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20"/>
          </w:cols>
          <w:pgMar w:left="320" w:top="482"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8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dividends paid to a U.S. 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Common Stock who or that is for U.S. federal income tax purposes:</w:t>
      </w:r>
    </w:p>
    <w:p>
      <w:pPr>
        <w:spacing w:after="0" w:line="67" w:lineRule="exact"/>
        <w:rPr>
          <w:sz w:val="20"/>
          <w:szCs w:val="20"/>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general, any distributions we make to a Non-U.S. holder of shares of Common Stock, to the extent paid out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common stock</w:t>
      </w:r>
      <w:r>
        <w:rPr>
          <w:rFonts w:ascii="Times New Roman" w:cs="Times New Roman" w:eastAsia="Times New Roman" w:hAnsi="Times New Roman"/>
          <w:sz w:val="18"/>
          <w:szCs w:val="18"/>
          <w:color w:val="auto"/>
        </w:rPr>
        <w:t>” below.</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00"/>
          </w:cols>
          <w:pgMar w:left="320" w:top="482" w:right="4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A Non-U.S. holder generally will not be subject to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or withholding tax in respect of gain recognized on a sale, taxable exchange or other taxable disposition of Common Stock, unless:</w:t>
      </w:r>
    </w:p>
    <w:p>
      <w:pPr>
        <w:spacing w:after="0" w:line="66" w:lineRule="exact"/>
        <w:rPr>
          <w:sz w:val="20"/>
          <w:szCs w:val="20"/>
          <w:color w:val="auto"/>
        </w:rPr>
      </w:pPr>
    </w:p>
    <w:p>
      <w:pPr>
        <w:ind w:left="1080" w:right="80" w:hanging="532"/>
        <w:spacing w:after="0" w:line="312" w:lineRule="auto"/>
        <w:tabs>
          <w:tab w:leader="none" w:pos="108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45" w:lineRule="exact"/>
        <w:rPr>
          <w:rFonts w:ascii="Times New Roman" w:cs="Times New Roman" w:eastAsia="Times New Roman" w:hAnsi="Times New Roman"/>
          <w:sz w:val="17"/>
          <w:szCs w:val="17"/>
          <w:color w:val="auto"/>
        </w:rPr>
      </w:pPr>
    </w:p>
    <w:p>
      <w:pPr>
        <w:ind w:left="1080" w:right="20" w:hanging="532"/>
        <w:spacing w:after="0" w:line="256"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Common Stock, and, in the case where shares of Common Stock are regularly traded on an established securities market, the Non-U.S. holder has owned, directly or constructively, more than 5% of Common Stock at any time within the shorter of the five-year period preceding the disposition or such Non-U.S. holder’s holding period for the shares of Common Stock. There can be no assurance that Common Stock will be treated as regularly traded on an established securities market for this purpose.</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Common Stock will be subject to tax at generally applicable U.S. federal income tax rates.</w:t>
      </w:r>
    </w:p>
    <w:p>
      <w:pPr>
        <w:spacing w:after="0" w:line="16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Information returns will be filed with the IRS in connection with payments of dividends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FATCA Withholding Taxes</w:t>
      </w:r>
      <w:r>
        <w:rPr>
          <w:rFonts w:ascii="Times New Roman" w:cs="Times New Roman" w:eastAsia="Times New Roman" w:hAnsi="Times New Roman"/>
          <w:sz w:val="18"/>
          <w:szCs w:val="18"/>
          <w:color w:val="auto"/>
        </w:rPr>
        <w:t>. Provisions commonly referred to as “FATCA” impose withholding of 30% on payments of dividends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constructive dividends) on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Pursuant to proposed Treasury Regulations, the U.S. Treasury Department has indicated its intent to eliminate the requirement under FATCA of withholding on gross proceeds from the sale or other disposition of property of a type which can produce U.S. source dividends or interest. The U.S. Treasury Department has indicated that taxpayers may rely on these proposed Treasury Regulations pending their finalization. Foreign financial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40"/>
          </w:cols>
          <w:pgMar w:left="320" w:top="482"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00"/>
          </w:cols>
          <w:pgMar w:left="320" w:top="482" w:right="4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(it being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120"/>
          </w:cols>
          <w:pgMar w:left="320" w:top="482"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understood that the selling stockholders shall not be deemed to be underwriters solely as a result of their 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214</w:t>
      </w:r>
    </w:p>
    <w:p>
      <w:pPr>
        <w:sectPr>
          <w:pgSz w:w="11900" w:h="16838" w:orient="portrait"/>
          <w:cols w:equalWidth="0" w:num="1">
            <w:col w:w="11140"/>
          </w:cols>
          <w:pgMar w:left="320" w:top="482"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Frequency Therapeutics, Inc. as of December 31, 2022 and 2021 and for each of the years in the two-year period ended December 31, 2022 have been audited by RSM US LLP, an independent registered public accounting firm, as stated in their report thereon, and included in this Prospectus and Registration Statement in reliance upon such report and upon the authority of such firm as experts in accounting and auditing.</w:t>
      </w:r>
    </w:p>
    <w:p>
      <w:pPr>
        <w:spacing w:after="0" w:line="180"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Korro Bio Ops, Inc. (formerly Korro Bio, Inc.) at December 31, 2022 and 2021, and for each of the two years in the period ended December 31, 2022, appearing in this Prospectus and Registration Statement have been audited by Ernst &amp; Young LLP, independent registered public accounting firm, as set forth in their report thereon (which contains an explanatory paragraph describing conditions that raise substantial doubt about Korro Bio Ops, Inc.’s ability to continue as a going concern as described in Note 1 to its consolidated financial statements) appearing elsewhere herein, and are included in reliance upon such report given on the authority of such firm as experts in accounting and auditing.</w:t>
      </w: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22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On November 3, 2023, the audit committee of the Board approved a resolution appointing Ernst &amp; Young LLP, or E&amp;Y, as our independent registered public accounting firm to audit our consolidated financial statements for the fiscal year ended December 31, 2023, and RSM US LLP, or RSM, was dismissed from its role as our independent registered public accounting firm.</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reports of RSM on Frequency’s consolidated financial statements for the fiscal years ended December 31, 2022 and 2021 did not contain an adverse opinion or disclaimer of opinion and were not qualified or modified as to uncertainty, audit scope or accounting principles.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During Frequency’s two most recent fiscal years and the subsequent period from January 1, 2023 to November 3, 2023, there were (i) no disagreements (as defined in Item 304(a)(1)(iv) of Regulation S-K and the related instructions thereto) with RSM on any matter of accounting principles or practices, financial statement disclosure, or auditing scope or procedure, which disagreement, if not resolved to the satisfaction of RSM, would have caused it to make reference to the subject matter of the disagreement in connection with its report and (ii) no reportable events (as described in Item 304(a)(1)(v) of Regulation S-K).</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provided RSM with a copy of the foregoing disclosures and requested RSM to furnish us with a letter addressed to the SEC stating whether it agrees with the statements made by us and, if not, stating the respects in which it does not agree. A copy of RSM’s letter is incorporated by reference as Exhibit 16.1 to the Registration Statement.</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E&amp;Y served as the independent registered public accounting firm of Legacy Korro prior to the completion of the Merger. During our two most recent fiscal years and the subsequent period from January 1, 2023 to November 3, 2023, we did not consult with E&amp;Y regarding any of the matters or events set forth in Item 304(a)(2)(i) and (ii) of Regulation S-K.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20"/>
          </w:cols>
          <w:pgMar w:left="320" w:top="482"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www.korrobio.com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82" w:right="49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89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0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gridSpan w:val="9"/>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6"/>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Frequency Therapeutics, Inc.</w:t>
            </w:r>
          </w:p>
        </w:tc>
        <w:tc>
          <w:tcPr>
            <w:tcW w:w="210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September 30, 2023 and September 30, 2022</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418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292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Consolidated Financial Statements</w:t>
            </w:r>
          </w:p>
        </w:tc>
        <w:tc>
          <w:tcPr>
            <w:tcW w:w="4920" w:type="dxa"/>
            <w:vAlign w:val="bottom"/>
            <w:gridSpan w:val="8"/>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46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 31, 2022 and 2021</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49)</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F-20</w:t>
            </w:r>
          </w:p>
        </w:tc>
      </w:tr>
      <w:tr>
        <w:trPr>
          <w:trHeight w:val="218"/>
        </w:trPr>
        <w:tc>
          <w:tcPr>
            <w:tcW w:w="120" w:type="dxa"/>
            <w:vAlign w:val="bottom"/>
          </w:tcPr>
          <w:p>
            <w:pPr>
              <w:spacing w:after="0"/>
              <w:rPr>
                <w:sz w:val="18"/>
                <w:szCs w:val="18"/>
                <w:color w:val="auto"/>
              </w:rPr>
            </w:pPr>
          </w:p>
        </w:tc>
        <w:tc>
          <w:tcPr>
            <w:tcW w:w="54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380" w:type="dxa"/>
            <w:vAlign w:val="bottom"/>
            <w:gridSpan w:val="4"/>
          </w:tcPr>
          <w:p>
            <w:pPr>
              <w:spacing w:after="0"/>
              <w:rPr>
                <w:sz w:val="18"/>
                <w:szCs w:val="18"/>
                <w:color w:val="auto"/>
              </w:rPr>
            </w:pPr>
          </w:p>
        </w:tc>
        <w:tc>
          <w:tcPr>
            <w:tcW w:w="210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F-21</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418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292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r>
      <w:tr>
        <w:trPr>
          <w:trHeight w:val="668"/>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5"/>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Korro Bio Ops, Inc.</w:t>
            </w:r>
          </w:p>
        </w:tc>
        <w:tc>
          <w:tcPr>
            <w:tcW w:w="210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 September 30, 2023 and September 30, 2022</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F-52</w:t>
            </w:r>
          </w:p>
        </w:tc>
      </w:tr>
      <w:tr>
        <w:trPr>
          <w:trHeight w:val="20"/>
        </w:trPr>
        <w:tc>
          <w:tcPr>
            <w:tcW w:w="12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3340" w:type="dxa"/>
            <w:vAlign w:val="bottom"/>
            <w:gridSpan w:val="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F-53</w:t>
            </w:r>
          </w:p>
        </w:tc>
      </w:tr>
      <w:tr>
        <w:trPr>
          <w:trHeight w:val="196"/>
        </w:trPr>
        <w:tc>
          <w:tcPr>
            <w:tcW w:w="120" w:type="dxa"/>
            <w:vAlign w:val="bottom"/>
          </w:tcPr>
          <w:p>
            <w:pPr>
              <w:spacing w:after="0"/>
              <w:rPr>
                <w:sz w:val="17"/>
                <w:szCs w:val="17"/>
                <w:color w:val="auto"/>
              </w:rPr>
            </w:pPr>
          </w:p>
        </w:tc>
        <w:tc>
          <w:tcPr>
            <w:tcW w:w="67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Convertible Preferred Stock and Stockholders’ Deficit</w:t>
            </w:r>
          </w:p>
        </w:tc>
        <w:tc>
          <w:tcPr>
            <w:tcW w:w="208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F-54</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r>
      <w:tr>
        <w:trPr>
          <w:trHeight w:val="20"/>
        </w:trPr>
        <w:tc>
          <w:tcPr>
            <w:tcW w:w="120" w:type="dxa"/>
            <w:vAlign w:val="bottom"/>
          </w:tcPr>
          <w:p>
            <w:pPr>
              <w:spacing w:after="0" w:line="20" w:lineRule="exact"/>
              <w:rPr>
                <w:sz w:val="1"/>
                <w:szCs w:val="1"/>
                <w:color w:val="auto"/>
              </w:rPr>
            </w:pPr>
          </w:p>
        </w:tc>
        <w:tc>
          <w:tcPr>
            <w:tcW w:w="370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r>
      <w:tr>
        <w:trPr>
          <w:trHeight w:val="20"/>
        </w:trPr>
        <w:tc>
          <w:tcPr>
            <w:tcW w:w="120" w:type="dxa"/>
            <w:vAlign w:val="bottom"/>
          </w:tcPr>
          <w:p>
            <w:pPr>
              <w:spacing w:after="0" w:line="20" w:lineRule="exact"/>
              <w:rPr>
                <w:sz w:val="1"/>
                <w:szCs w:val="1"/>
                <w:color w:val="auto"/>
              </w:rPr>
            </w:pPr>
          </w:p>
        </w:tc>
        <w:tc>
          <w:tcPr>
            <w:tcW w:w="398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6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 31, 2022 and 2021</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422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640" w:type="dxa"/>
            <w:vAlign w:val="bottom"/>
            <w:gridSpan w:val="6"/>
          </w:tcPr>
          <w:p>
            <w:pPr>
              <w:spacing w:after="0"/>
              <w:rPr>
                <w:sz w:val="16"/>
                <w:szCs w:val="16"/>
                <w:color w:val="auto"/>
              </w:rPr>
            </w:pP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F-69</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780" w:type="dxa"/>
            <w:vAlign w:val="bottom"/>
            <w:gridSpan w:val="1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418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F-71</w:t>
            </w: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292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F-72</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F-73</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00" w:type="dxa"/>
            <w:vAlign w:val="bottom"/>
            <w:gridSpan w:val="1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F-74</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5"/>
          </w:tcPr>
          <w:p>
            <w:pPr>
              <w:jc w:val="center"/>
              <w:ind w:right="2540"/>
              <w:spacing w:after="0"/>
              <w:rPr>
                <w:sz w:val="20"/>
                <w:szCs w:val="20"/>
                <w:color w:val="auto"/>
              </w:rPr>
            </w:pPr>
            <w:r>
              <w:rPr>
                <w:rFonts w:ascii="Times New Roman" w:cs="Times New Roman" w:eastAsia="Times New Roman" w:hAnsi="Times New Roman"/>
                <w:sz w:val="18"/>
                <w:szCs w:val="18"/>
                <w:color w:val="auto"/>
                <w:w w:val="95"/>
              </w:rPr>
              <w:t>F-1</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41,723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51,954</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31,143</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4,396</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42,500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87,493</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2,739</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28,980</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46,349</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121,238</w:t>
            </w:r>
          </w:p>
        </w:tc>
        <w:tc>
          <w:tcPr>
            <w:tcW w:w="12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3,114</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7,847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5,891</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8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21,026</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26,761</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8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52,043</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or outstanding at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738,526 and 705,242 shares issued and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2023 and December 31, 2022, respectively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340,344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331,057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(303,618)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(261,665)</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120" w:type="dxa"/>
            <w:vAlign w:val="bottom"/>
          </w:tcPr>
          <w:p>
            <w:pPr>
              <w:spacing w:after="0"/>
              <w:rPr>
                <w:sz w:val="20"/>
                <w:szCs w:val="20"/>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46,349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121,238</w:t>
            </w:r>
          </w:p>
        </w:tc>
      </w:tr>
      <w:tr>
        <w:trPr>
          <w:trHeight w:val="20"/>
        </w:trPr>
        <w:tc>
          <w:tcPr>
            <w:tcW w:w="8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82"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2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7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18,509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38,769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26,037</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(20,275)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(41,953)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5"/>
              </w:rPr>
              <w:t>738,445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9"/>
              </w:rPr>
              <w:t>704,954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9"/>
              </w:rPr>
              <w:t>720,105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700,264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82"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8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60" w:type="dxa"/>
            <w:vAlign w:val="bottom"/>
          </w:tcPr>
          <w:p>
            <w:pPr>
              <w:spacing w:after="0"/>
              <w:rPr>
                <w:sz w:val="15"/>
                <w:szCs w:val="15"/>
                <w:color w:val="auto"/>
              </w:rPr>
            </w:pPr>
          </w:p>
        </w:tc>
        <w:tc>
          <w:tcPr>
            <w:tcW w:w="18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8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26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$(11,614)</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$(19,547)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(41,953)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(64,218)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 and money market funds</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(11,598)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(19,531)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(41,745)</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(64,532)</w:t>
            </w:r>
          </w:p>
        </w:tc>
      </w:tr>
      <w:tr>
        <w:trPr>
          <w:trHeight w:val="20"/>
        </w:trPr>
        <w:tc>
          <w:tcPr>
            <w:tcW w:w="7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82"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Stockholders’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4700" w:type="dxa"/>
            <w:vAlign w:val="bottom"/>
          </w:tcPr>
          <w:p>
            <w:pPr>
              <w:spacing w:after="0"/>
              <w:rPr>
                <w:sz w:val="12"/>
                <w:szCs w:val="12"/>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par</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470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47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June 30, 2022</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699,528</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9"/>
              </w:rPr>
              <w:t>$ 321,000</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(392)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(224,756)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95,853</w:t>
            </w:r>
          </w:p>
        </w:tc>
        <w:tc>
          <w:tcPr>
            <w:tcW w:w="100" w:type="dxa"/>
            <w:vAlign w:val="bottom"/>
            <w:tcBorders>
              <w:top w:val="single" w:sz="8" w:color="CCEEFF"/>
            </w:tcBorders>
            <w:shd w:val="clear" w:color="auto" w:fill="CCEEFF"/>
          </w:tcPr>
          <w:p>
            <w:pPr>
              <w:spacing w:after="0"/>
              <w:rPr>
                <w:sz w:val="13"/>
                <w:szCs w:val="13"/>
                <w:color w:val="auto"/>
              </w:rPr>
            </w:pP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5,595</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5,595</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895</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57</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4,817</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16</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(19,547)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(19,547)</w:t>
            </w:r>
          </w:p>
        </w:tc>
      </w:tr>
      <w:tr>
        <w:trPr>
          <w:trHeight w:val="169"/>
        </w:trPr>
        <w:tc>
          <w:tcPr>
            <w:tcW w:w="47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September 30, 2022</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705,244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ind w:left="360"/>
              <w:spacing w:after="0" w:line="169"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$ 326,651</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(244,303</w:t>
            </w:r>
          </w:p>
        </w:tc>
        <w:tc>
          <w:tcPr>
            <w:tcW w:w="220" w:type="dxa"/>
            <w:vAlign w:val="bottom"/>
          </w:tcPr>
          <w:p>
            <w:pPr>
              <w:jc w:val="right"/>
              <w:ind w:right="8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81,973</w:t>
            </w:r>
          </w:p>
        </w:tc>
        <w:tc>
          <w:tcPr>
            <w:tcW w:w="10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June 30, 2023</w:t>
            </w:r>
          </w:p>
        </w:tc>
        <w:tc>
          <w:tcPr>
            <w:tcW w:w="560" w:type="dxa"/>
            <w:vAlign w:val="bottom"/>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719,274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rPr>
              <w:t>1</w:t>
            </w:r>
          </w:p>
        </w:tc>
        <w:tc>
          <w:tcPr>
            <w:tcW w:w="1180" w:type="dxa"/>
            <w:vAlign w:val="bottom"/>
            <w:gridSpan w:val="3"/>
            <w:shd w:val="clear" w:color="auto" w:fill="CCEEFF"/>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$ 337,417</w:t>
            </w: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(6)</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(292,004)</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45,408</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2,925</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2,925</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127</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19,125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16</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5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6"/>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(11,614)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(11,614)</w:t>
            </w:r>
          </w:p>
        </w:tc>
      </w:tr>
      <w:tr>
        <w:trPr>
          <w:trHeight w:val="27"/>
        </w:trPr>
        <w:tc>
          <w:tcPr>
            <w:tcW w:w="4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September 30, 2023</w:t>
            </w: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738,526</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$ 340,344</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10</w:t>
            </w:r>
          </w:p>
        </w:tc>
        <w:tc>
          <w:tcPr>
            <w:tcW w:w="3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(303,618)</w:t>
            </w:r>
          </w:p>
        </w:tc>
        <w:tc>
          <w:tcPr>
            <w:tcW w:w="3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36,737</w:t>
            </w:r>
          </w:p>
        </w:tc>
      </w:tr>
      <w:tr>
        <w:trPr>
          <w:trHeight w:val="20"/>
        </w:trPr>
        <w:tc>
          <w:tcPr>
            <w:tcW w:w="4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9"/>
        </w:trPr>
        <w:tc>
          <w:tcPr>
            <w:tcW w:w="4700" w:type="dxa"/>
            <w:vAlign w:val="bottom"/>
          </w:tcPr>
          <w:p>
            <w:pPr>
              <w:spacing w:after="0"/>
              <w:rPr>
                <w:sz w:val="24"/>
                <w:szCs w:val="24"/>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24"/>
                <w:szCs w:val="2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4700" w:type="dxa"/>
            <w:vAlign w:val="bottom"/>
          </w:tcPr>
          <w:p>
            <w:pPr>
              <w:spacing w:after="0"/>
              <w:rPr>
                <w:sz w:val="12"/>
                <w:szCs w:val="12"/>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par</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470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47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692,224</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9"/>
              </w:rPr>
              <w:t>$ 310,970</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(180,085)</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130,824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15,425</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15,425</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1,532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196</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459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61</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11,029</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(314)</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(64,218)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(64,218)</w:t>
            </w:r>
          </w:p>
        </w:tc>
      </w:tr>
      <w:tr>
        <w:trPr>
          <w:trHeight w:val="169"/>
        </w:trPr>
        <w:tc>
          <w:tcPr>
            <w:tcW w:w="47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September 30, 2022</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705,244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ind w:left="360"/>
              <w:spacing w:after="0" w:line="169"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$ 326,651</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(244,303</w:t>
            </w:r>
          </w:p>
        </w:tc>
        <w:tc>
          <w:tcPr>
            <w:tcW w:w="220" w:type="dxa"/>
            <w:vAlign w:val="bottom"/>
          </w:tcPr>
          <w:p>
            <w:pPr>
              <w:jc w:val="right"/>
              <w:ind w:right="8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81,973</w:t>
            </w:r>
          </w:p>
        </w:tc>
        <w:tc>
          <w:tcPr>
            <w:tcW w:w="10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560" w:type="dxa"/>
            <w:vAlign w:val="bottom"/>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705,242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rPr>
              <w:t>1</w:t>
            </w:r>
          </w:p>
        </w:tc>
        <w:tc>
          <w:tcPr>
            <w:tcW w:w="1180" w:type="dxa"/>
            <w:vAlign w:val="bottom"/>
            <w:gridSpan w:val="3"/>
            <w:shd w:val="clear" w:color="auto" w:fill="CCEEFF"/>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$ 331,057</w:t>
            </w: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(198)</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(261,665)</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69,195</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9,253</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9,253</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622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33</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32,603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208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208</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(41,953)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(41,953)</w:t>
            </w:r>
          </w:p>
        </w:tc>
      </w:tr>
      <w:tr>
        <w:trPr>
          <w:trHeight w:val="169"/>
        </w:trPr>
        <w:tc>
          <w:tcPr>
            <w:tcW w:w="47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September 30, 2023</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738,526</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ind w:left="360"/>
              <w:spacing w:after="0" w:line="169"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$ 340,344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(303,618</w:t>
            </w:r>
          </w:p>
        </w:tc>
        <w:tc>
          <w:tcPr>
            <w:tcW w:w="220" w:type="dxa"/>
            <w:vAlign w:val="bottom"/>
          </w:tcPr>
          <w:p>
            <w:pPr>
              <w:jc w:val="right"/>
              <w:ind w:right="8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36,737</w:t>
            </w:r>
          </w:p>
        </w:tc>
        <w:tc>
          <w:tcPr>
            <w:tcW w:w="10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82"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9"/>
              </w:rPr>
              <w:t>$(41,953)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(64,218)</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15,425</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(income) expense</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(42,618)</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(46,914)</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marketable securities</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Loan</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(35,789)</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$ 43,690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45,545</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right of use assets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$ 25,740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Reduction of lease liabilities</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$ 25,470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82"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Frequency Therapeutics, Inc., together with its wholly owned subsidiaries, Frequency Therapeutics, PTY, LTD, and Frequency Therapeutics Securities Corporation (the Company) headquartered in Lexington, Massachusetts, was incorporated in November 2014 as a Delaware corporation. The Company is a preclinical-stage regenerative medicine company focused on developing therapeutics to activate a person’s innate regenerative potential to restore function. On February 13, 2023, the Company announced a restructuring of the business which included the discontinuation of its hearing program and a downsizing of personnel by approximately 55%. On May 31, 2023, the Company announced an additional reduction in force of approximately 55% of its remaining personnel. On July 14, 2023, the Company, along with Frequency Merger Sub, Inc. (Merger Sub) and Korro Bio, Inc., (Korro Bio) entered into an Agreement and Plan of Merger (the Merger Agreement), pursuant to which, Merger Sub will merge with and into Korro Bio, with Korro Bio continuing as a wholly owned subsidiary of the Company and the surviving corporation of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private and public securities financings, a term loan, and amounts received under a collaboration agreement. The Company has incurred recurring losses since its inception. In addition, as of September 30, 2023, the Company had an accumulated deficit of $303,618.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and the cost savings generated from the restructuring and reduction in force announced in February and May 2023, respectively, will be sufficient to fund planned operations for at least twelve months from the date the financial statements were available to be issued.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consolidated financial statements are to the FASB Accounting Standards Codification (ASC).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Frequency Therapeutics, Inc. and its wholly owned subsidiaries Frequency Therapeutics Securities Corporation and Frequency Therapeutics PTY, LTD. All intercompany transactions and balances have been eliminated. The significant accounting policies used in preparation of these interim financial statements are consistent with those discussed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in the Company’s Annual Report on Form 10-K (the Company’s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accompanying consolidated balance sheet as of September 30, 2023 and the consolidated statements of operations, the consolidated statements of comprehensive loss and the consolidated statements of stockholders’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82"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equity for the three and nine months ended September 30, 2023 and 2022 and the consolidated statements of cash flows for the nine months ended September 30, 2023 and 2022 are unaudited. The unaudited interim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2023, the results of its operations for the three and nine months ended September 30, 2023 and 2022, and cash flows for the nine months ended September 30, 2023 and 2022. The financial data and other information disclosed in these notes related to the three and nine months ended September 30, 2023 and 2022 are also unaudited. The results for the three and nine months ended September 30, 2023 are not necessarily indicative of results to be expected for the year ending December 31, 2023, any other interim periods, or any future year or period. The consolidated balance sheet as of December 31, 2022 included herein was derived from the audited consolidated financial statements as of that date. These unaudited consolidated financial statements should be read in conjunction with the Company’s audited consolidated financial statements and the notes thereto for the year ended December 31, 2022 included in the Company’s Form 10-K.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Recently adopted and issued accounting standards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new or revised accounting standards on the relevant dates on which adoption of such standards is required for other public companies.</w:t>
      </w:r>
    </w:p>
    <w:p>
      <w:pPr>
        <w:spacing w:after="0" w:line="17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Measurement of Credit Losses on Financial Instruments. The FASB has subsequently issued amendments to ASU 2016-13, which have the same effective date and transition date. These standards require that credit losses be reported using an expected losses model rather than the incurred losses model that was previously used, and establishes additional disclosures related to credit risks. For available-for-sale debt securities with unrealized losses, this standard now requires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adopted the standard on January 1, 2023 and it did not have a material impact on the consolidated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at September 30, 2023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are summarized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17"/>
        </w:trPr>
        <w:tc>
          <w:tcPr>
            <w:tcW w:w="33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r>
      <w:tr>
        <w:trPr>
          <w:trHeight w:val="173"/>
        </w:trPr>
        <w:tc>
          <w:tcPr>
            <w:tcW w:w="3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8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equivalents:</w:t>
            </w:r>
          </w:p>
        </w:tc>
        <w:tc>
          <w:tcPr>
            <w:tcW w:w="29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9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35,299</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9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6"/>
        </w:trPr>
        <w:tc>
          <w:tcPr>
            <w:tcW w:w="3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35,299</w:t>
            </w:r>
          </w:p>
        </w:tc>
      </w:tr>
      <w:tr>
        <w:trPr>
          <w:trHeight w:val="372"/>
        </w:trPr>
        <w:tc>
          <w:tcPr>
            <w:tcW w:w="3380" w:type="dxa"/>
            <w:vAlign w:val="bottom"/>
          </w:tcPr>
          <w:p>
            <w:pPr>
              <w:spacing w:after="0"/>
              <w:rPr>
                <w:sz w:val="24"/>
                <w:szCs w:val="24"/>
                <w:color w:val="auto"/>
              </w:rPr>
            </w:pPr>
          </w:p>
        </w:tc>
        <w:tc>
          <w:tcPr>
            <w:tcW w:w="38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F-8</w:t>
            </w:r>
          </w:p>
        </w:tc>
        <w:tc>
          <w:tcPr>
            <w:tcW w:w="2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17"/>
        </w:trPr>
        <w:tc>
          <w:tcPr>
            <w:tcW w:w="634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r>
      <w:tr>
        <w:trPr>
          <w:trHeight w:val="173"/>
        </w:trPr>
        <w:tc>
          <w:tcPr>
            <w:tcW w:w="634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8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equivalents:</w:t>
            </w: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30,649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61,792</w:t>
            </w:r>
          </w:p>
        </w:tc>
      </w:tr>
      <w:tr>
        <w:trPr>
          <w:trHeight w:val="20"/>
        </w:trPr>
        <w:tc>
          <w:tcPr>
            <w:tcW w:w="6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 for prepaid expenses and other current assets, accounts payable, accrued expenses, other liabilities, and term loan are shown at their historical values which approximate their fair values.</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Silicon Valley Bank (SVB) was closed on March 10, 2023 by the California Department of Financial Protection and Innovation, which appointed the Federal Deposit Insurance Corporation (FDIC) as receiver. The FDIC then reopened SVB as Silicon Valley Bridge Bank, N.A. (SVBB). At September 30, 2023, SVBB holds the Company’s sweep account and one of the Company’s deposit accounts. The Company continues to decrease the balances held by SVBB.</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 did not hold any investments at September 30, 2023. The following table summarizes the Company’s investments at December 31, 2022, all of which are classified as available-for-sale and recorded at fair value:</w:t>
      </w:r>
    </w:p>
    <w:p>
      <w:pPr>
        <w:spacing w:after="0" w:line="18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17"/>
        </w:trPr>
        <w:tc>
          <w:tcPr>
            <w:tcW w:w="5600" w:type="dxa"/>
            <w:vAlign w:val="bottom"/>
          </w:tcPr>
          <w:p>
            <w:pPr>
              <w:spacing w:after="0"/>
              <w:rPr>
                <w:sz w:val="10"/>
                <w:szCs w:val="10"/>
                <w:color w:val="auto"/>
              </w:rPr>
            </w:pPr>
          </w:p>
        </w:tc>
        <w:tc>
          <w:tcPr>
            <w:tcW w:w="84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660" w:type="dxa"/>
            <w:vAlign w:val="bottom"/>
            <w:tcBorders>
              <w:top w:val="single" w:sz="8" w:color="auto"/>
            </w:tcBorders>
            <w:gridSpan w:val="4"/>
          </w:tcPr>
          <w:p>
            <w:pPr>
              <w:ind w:left="6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100" w:type="dxa"/>
            <w:vAlign w:val="bottom"/>
            <w:tcBorders>
              <w:top w:val="single" w:sz="8" w:color="auto"/>
            </w:tcBorders>
            <w:gridSpan w:val="2"/>
          </w:tcPr>
          <w:p>
            <w:pPr>
              <w:jc w:val="center"/>
              <w:ind w:left="233"/>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60" w:type="dxa"/>
            <w:vAlign w:val="bottom"/>
          </w:tcPr>
          <w:p>
            <w:pPr>
              <w:spacing w:after="0"/>
              <w:rPr>
                <w:sz w:val="10"/>
                <w:szCs w:val="10"/>
                <w:color w:val="auto"/>
              </w:rPr>
            </w:pPr>
          </w:p>
        </w:tc>
      </w:tr>
      <w:tr>
        <w:trPr>
          <w:trHeight w:val="173"/>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31,280</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31,143</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Company’s short-term marketable securities were held in investment advisory accounts with SVB Asset Management (SAM). On March 27, 2023, following the closure of SVB, SAM’s former parent company, and the creation of SVBB, the FDIC entered into a purchase and assumption agreement for certain assets of SVBB with First-Citizens Bank &amp; Trust Company (FCB). As a result of this transaction, SAM became a wholly owned subsidiary of FCB. As of September 30, 2023, the Company does not hold any short-term marketable securities.</w:t>
      </w:r>
    </w:p>
    <w:p>
      <w:pPr>
        <w:spacing w:after="0" w:line="180"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The Company determines the appropriate classification of investments at the time of purchase and reviews any investment when its fair value is less than its amortized cost and when evidence indicates that the investment’s carrying amount is not recoverable within a reasonable period of time. The Company evaluates whether the decline in fair value has resulted from credit losses or other factors. In making this assessment, the Company considers the extent to which fair value is less than amortized cost, any changes to the rating of the security by a rating agency, and adverse conditions specifically related to the security, among other factors. If this assessment indicates that a credit loss may exist, the present value of cash flows expected to be collected from the investment is compared to its amortized cost basis. If the present value of cash flows expected to be collected is less than the amortized cost basis, a credit loss exists and an allowance for credit losses is recorded on the consolidated balance sheet, limited by the amount that the fair value is less than the amortized cost basis. Any impairment that is not related to a credit loss is recognized in other comprehensive (loss) income. The unrealized losses at September 30, 2023 and December 31, 2022 were attributable to changes in interest rates and do not represent credit losses.</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82"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At September 30, 2023, the Company did not own any debt securities. At December 31, 2022, the Company held 14 debt securities that were in an unrealized loss position. The Company does not sell the investments before recovery of their amortized cost bases, which may be at maturity. The following tables summarize the Company’s debt securities in an unrealized loss position, aggregated by length of time in a continuous unrealized loss position.</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8"/>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400" w:type="dxa"/>
            <w:vAlign w:val="bottom"/>
          </w:tcPr>
          <w:p>
            <w:pPr>
              <w:spacing w:after="0"/>
              <w:rPr>
                <w:sz w:val="12"/>
                <w:szCs w:val="12"/>
                <w:color w:val="auto"/>
              </w:rPr>
            </w:pPr>
          </w:p>
        </w:tc>
        <w:tc>
          <w:tcPr>
            <w:tcW w:w="1520" w:type="dxa"/>
            <w:vAlign w:val="bottom"/>
            <w:tcBorders>
              <w:bottom w:val="single" w:sz="8" w:color="auto"/>
            </w:tcBorders>
            <w:gridSpan w:val="7"/>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0"/>
                <w:szCs w:val="10"/>
                <w:color w:val="auto"/>
              </w:rPr>
            </w:pPr>
          </w:p>
        </w:tc>
        <w:tc>
          <w:tcPr>
            <w:tcW w:w="920" w:type="dxa"/>
            <w:vAlign w:val="bottom"/>
            <w:gridSpan w:val="4"/>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0"/>
                <w:szCs w:val="10"/>
                <w:color w:val="auto"/>
              </w:rPr>
            </w:pPr>
          </w:p>
        </w:tc>
        <w:tc>
          <w:tcPr>
            <w:tcW w:w="11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3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5"/>
                <w:szCs w:val="15"/>
                <w:color w:val="auto"/>
              </w:rPr>
            </w:pPr>
          </w:p>
        </w:tc>
        <w:tc>
          <w:tcPr>
            <w:tcW w:w="92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 in unrealized loss position</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2"/>
              </w:rPr>
              <w:t>17,303</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9,927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2"/>
              </w:rPr>
              <w:t>17,303</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19"/>
                <w:szCs w:val="19"/>
                <w:color w:val="auto"/>
              </w:rPr>
            </w:pPr>
          </w:p>
        </w:tc>
        <w:tc>
          <w:tcPr>
            <w:tcW w:w="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9,927</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include the following:</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recognized $385 and $1,879 and $679 and $2,094 of depreciation expense for the three and nine months ended September 30, 2023 and 2022, respectively.</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and Plan of Merger with Korro Bio, Inc., the Company classified certain lab equipment as held for sale in September 2023. The carrying value of the lab equipment at September 30, 2023 has been removed from property and equipment, net and is presented as assets held for sale of $354 within current assets on the consolidated balance sheets. The Company anticipates the items classified as held for sale to be disposed of in October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3600" w:type="dxa"/>
            <w:vAlign w:val="bottom"/>
            <w:gridSpan w:val="3"/>
          </w:tcPr>
          <w:p>
            <w:pPr>
              <w:ind w:left="2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6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related expenses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research and development expenses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6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2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F-10</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December 11, 2020, the Company entered into a Loan and Security Agreement (Loan Agreement) with Silicon Valley Bank for a term loan with a principal balance of $15,000. The Company made monthly interest only payments through November 30, 2022. The principal balance and interest were to be repaid in equal monthly installments after the interest only period and continue through May 1, 2024 (Loan Maturity Date). On April 3, 2023, the Company prepaid the remaining $11,667 due under the Loan Agreement. As such, there was no interest expense for the three months ended September 30, 2023. Interest expense related to the Loan Agreement was $284 for the nine months ended September 30, 2023 and $263 and $649 for the three and nine months ended September 30, 2022, respectively.</w:t>
      </w:r>
    </w:p>
    <w:p>
      <w:pPr>
        <w:spacing w:after="0" w:line="187"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final payment of $150, which the Company had been accruing over the term of the loan, was also paid on April 3, 2023. The Company was not subject to any prepayment premium as the prepayment occurred after the second anniversary of the closing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Net loss per share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Diluted net loss per share is the same as basic net loss per share for the three and nine months ended September 30, 2023 and 2022 since all potential shares of common stock instruments are anti-dilutive as a result of the loss for such periods.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(41,953)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(64,218)</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738,445</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704,954</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9"/>
              </w:rPr>
              <w:t>720,105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700,264</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(91.71)</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2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shares of common stock from the computation of diluted net loss per share because including them would have had an anti-dilutive effect.</w:t>
      </w:r>
    </w:p>
    <w:p>
      <w:pPr>
        <w:spacing w:after="0" w:line="18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Company has authorized 10,000,000 shares of $0.001 par value preferred stock of which no shares were issued or outstanding as of September 30,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82"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Company has authorized 200,000,000 shares of $0.001 par value common stock of which there were 738,526 and 705,242 shares issued and outstanding as of September 30, 2023 and December 31, 2022, respectively. Common shares are voting, and dividends may be paid when, as and if declared by the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as of September 30, 2023 and December 31,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114,841</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grant under incentive plans</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60,328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19,764</w:t>
            </w:r>
          </w:p>
        </w:tc>
      </w:tr>
      <w:tr>
        <w:trPr>
          <w:trHeight w:val="27"/>
        </w:trPr>
        <w:tc>
          <w:tcPr>
            <w:tcW w:w="5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153,582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134,605</w:t>
            </w:r>
          </w:p>
        </w:tc>
      </w:tr>
      <w:tr>
        <w:trPr>
          <w:trHeight w:val="20"/>
        </w:trPr>
        <w:tc>
          <w:tcPr>
            <w:tcW w:w="5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December 10, 2021, the Company entered into an Equity Distribution Agreement (the Sales Agreement) with Oppenheimer &amp; Co. Inc. (the Sales Agent) to sell shares of the Company’s common stock, par value $0.001 per share, with aggregate gross sales proceeds of up to $125,000, from time to time, through an “at the market” equity offering program.</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sold 255 shares of common stock under the ATM program for net proceeds of approximately $50. No shares were sold during the three or nine months ended September 30, 2023. On September 26, 2023, the Company’s ATM was terminated.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below summary includes stock option activity within the Company’s 2014 Stock Incentive Plan and 2019 Incentive Award Plan for the nine months ended September 30,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in</w:t>
            </w:r>
          </w:p>
        </w:tc>
        <w:tc>
          <w:tcPr>
            <w:tcW w:w="26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6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60" w:type="dxa"/>
            <w:vAlign w:val="bottom"/>
          </w:tcPr>
          <w:p>
            <w:pPr>
              <w:spacing w:after="0"/>
              <w:rPr>
                <w:sz w:val="15"/>
                <w:szCs w:val="15"/>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$117.50</w:t>
            </w:r>
          </w:p>
        </w:tc>
        <w:tc>
          <w:tcPr>
            <w:tcW w:w="5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20" w:type="dxa"/>
            <w:vAlign w:val="bottom"/>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233.00</w:t>
            </w:r>
          </w:p>
        </w:tc>
        <w:tc>
          <w:tcPr>
            <w:tcW w:w="166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3.50</w:t>
            </w:r>
          </w:p>
        </w:tc>
        <w:tc>
          <w:tcPr>
            <w:tcW w:w="1660" w:type="dxa"/>
            <w:vAlign w:val="bottom"/>
            <w:gridSpan w:val="2"/>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(22,075)</w:t>
            </w: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122.50</w:t>
            </w:r>
          </w:p>
        </w:tc>
        <w:tc>
          <w:tcPr>
            <w:tcW w:w="1660" w:type="dxa"/>
            <w:vAlign w:val="bottom"/>
            <w:gridSpan w:val="2"/>
          </w:tcPr>
          <w:p>
            <w:pPr>
              <w:jc w:val="center"/>
              <w:ind w:left="67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$117.00</w:t>
            </w:r>
          </w:p>
        </w:tc>
        <w:tc>
          <w:tcPr>
            <w:tcW w:w="166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6.20</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September 30, 2023</w:t>
            </w:r>
          </w:p>
        </w:tc>
        <w:tc>
          <w:tcPr>
            <w:tcW w:w="960" w:type="dxa"/>
            <w:vAlign w:val="bottom"/>
            <w:gridSpan w:val="2"/>
          </w:tcPr>
          <w:p>
            <w:pPr>
              <w:spacing w:after="0" w:line="20" w:lineRule="exact"/>
              <w:rPr>
                <w:sz w:val="1"/>
                <w:szCs w:val="1"/>
                <w:color w:val="auto"/>
              </w:rPr>
            </w:pPr>
          </w:p>
        </w:tc>
        <w:tc>
          <w:tcPr>
            <w:tcW w:w="13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$117.50</w:t>
            </w:r>
          </w:p>
        </w:tc>
        <w:tc>
          <w:tcPr>
            <w:tcW w:w="1660" w:type="dxa"/>
            <w:vAlign w:val="bottom"/>
            <w:gridSpan w:val="2"/>
            <w:vMerge w:val="restart"/>
          </w:tcPr>
          <w:p>
            <w:pPr>
              <w:jc w:val="center"/>
              <w:ind w:left="695"/>
              <w:spacing w:after="0"/>
              <w:rPr>
                <w:sz w:val="20"/>
                <w:szCs w:val="20"/>
                <w:color w:val="auto"/>
              </w:rPr>
            </w:pPr>
            <w:r>
              <w:rPr>
                <w:rFonts w:ascii="Times New Roman" w:cs="Times New Roman" w:eastAsia="Times New Roman" w:hAnsi="Times New Roman"/>
                <w:sz w:val="18"/>
                <w:szCs w:val="18"/>
                <w:color w:val="auto"/>
              </w:rPr>
              <w:t>5.92</w:t>
            </w: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3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unvested as of September 30, 2023</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6,756</w:t>
            </w:r>
          </w:p>
        </w:tc>
        <w:tc>
          <w:tcPr>
            <w:tcW w:w="13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$ 111.50</w:t>
            </w:r>
          </w:p>
        </w:tc>
        <w:tc>
          <w:tcPr>
            <w:tcW w:w="166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7.28</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82"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directors were as follows, presented on a weighted average basis: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4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92.0%</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and nine months ended September 30, 2023 was $0 and $179, respectively. The weighted-average grant date fair value of options granted during the three and nine months ended September 30, 2022 was $70 and $80, respectively.</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options vested during the three and nine months ended September 30, 2023 was $2,171 and $6,672, respectively. The total grant date fair value of options vested during the three and nine months ended September 30, 2022 was $3,100 and $11,390,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Repricing of stock options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August 17, 2022, the Board of Directors approved the repricing of all options granted under the 2019 Incentive Award Plan that were held by then current employees, executives, directors, and consultants for which the exercise price per share was greater than the closing price per share of the Company’s common stock on August 17, 2022 (Underwater Options) by reducing the exercise price of each Underwater Option to $107, the closing price per share of the Company’s common stock on August 17, 2022. Except for the modification of the exercise price, all other terms and conditions of the Underwater Options remain in effect.</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option repricing resulted in incremental stock-based compensation of $2,505, of which $179 and $518 was recorded as expense in the three and nine months ended September 30, 2023, respectively. At September 30, 2023, $357 incremental expense remains which will be recognized as expense over the requisite service period in which the options vest.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below summary includes restricted stock unit activity within the Company’s 2019 Incentive Award Plan for the nine months ended September 30, 2023:</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3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7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73"/>
        </w:trPr>
        <w:tc>
          <w:tcPr>
            <w:tcW w:w="32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2022</w:t>
            </w:r>
          </w:p>
        </w:tc>
        <w:tc>
          <w:tcPr>
            <w:tcW w:w="3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4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33,327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145.50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179.00</w:t>
            </w:r>
          </w:p>
        </w:tc>
      </w:tr>
      <w:tr>
        <w:trPr>
          <w:trHeight w:val="27"/>
        </w:trPr>
        <w:tc>
          <w:tcPr>
            <w:tcW w:w="3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3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38,603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w:t>
            </w:r>
            <w:r>
              <w:rPr>
                <w:rFonts w:ascii="Times New Roman" w:cs="Times New Roman" w:eastAsia="Times New Roman" w:hAnsi="Times New Roman"/>
                <w:sz w:val="18"/>
                <w:szCs w:val="18"/>
                <w:u w:val="single" w:color="auto"/>
                <w:color w:val="auto"/>
              </w:rPr>
              <w:t>50</w:t>
            </w:r>
          </w:p>
        </w:tc>
      </w:tr>
      <w:tr>
        <w:trPr>
          <w:trHeight w:val="20"/>
        </w:trPr>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4060" w:type="dxa"/>
            <w:vAlign w:val="bottom"/>
            <w:gridSpan w:val="3"/>
          </w:tcPr>
          <w:p>
            <w:pPr>
              <w:jc w:val="right"/>
              <w:ind w:right="2980"/>
              <w:spacing w:after="0"/>
              <w:rPr>
                <w:sz w:val="20"/>
                <w:szCs w:val="20"/>
                <w:color w:val="auto"/>
              </w:rPr>
            </w:pPr>
            <w:r>
              <w:rPr>
                <w:rFonts w:ascii="Times New Roman" w:cs="Times New Roman" w:eastAsia="Times New Roman" w:hAnsi="Times New Roman"/>
                <w:sz w:val="18"/>
                <w:szCs w:val="18"/>
                <w:color w:val="auto"/>
              </w:rPr>
              <w:t>F-13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60"/>
          </w:cols>
          <w:pgMar w:left="320" w:top="482" w:right="51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stock-based compensation within the accompanying consolidated statements of operations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5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750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2,095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3,500</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5,595</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15,425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60"/>
        <w:spacing w:after="0" w:line="282" w:lineRule="auto"/>
        <w:rPr>
          <w:sz w:val="20"/>
          <w:szCs w:val="20"/>
          <w:color w:val="auto"/>
        </w:rPr>
      </w:pPr>
      <w:r>
        <w:rPr>
          <w:rFonts w:ascii="Times New Roman" w:cs="Times New Roman" w:eastAsia="Times New Roman" w:hAnsi="Times New Roman"/>
          <w:sz w:val="18"/>
          <w:szCs w:val="18"/>
          <w:color w:val="auto"/>
        </w:rPr>
        <w:t>As of September 30, 2023, total unrecognized stock-based compensation expense relating to unvested stock options and restricted stock units was $9,454. This amount is expected to be recognized over a weighted-average period of 1.52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September 20, 2019, the Company’s board of directors and stockholders approved and adopted the 2019 Employee Stock Purchase Plan (the ESPP) which became effective on the date of the Company’s initial public offering of shares of its common stock. The ESPP permits participants to purchase common stock through payroll deductions of up to 15% of their eligible compensation. The number of shares of common stock available for issuance under the ESPP will be automatically increased on the first day of each calendar year during the first ten years of the term of the ESPP, beginning with January 1, 2020 and ending with January 1, 2029, by an amount equal to 1% of the outstanding number of shares of the Company’s common stock on December 31 of the preceding calendar year or such lesser amount as determined by the Company’s board of directors.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637 shares were purchased under the ESPP in January 2022 related to the second offering period of 2021, which concluded on December 31, 2021. 495 shares were purchased in January 2023 related to the second offering period of 2022, which concluded on December 31, 2022. 127 shares were purchased in July 2023 related to the first offering period of 2023, which concluded on June 30, 2023. As of September 30, 2023, a total of 30,941 shares remain available for future issuance under the ESPP.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Company’s total provision is based on the United States statutory rate of 21%, increased by state taxes and reduced by a full valuation allowance on the Company’s deferred tax assets. The income tax expense for the three and nine months ended September 30, 2023 and 2022 represents state taxes on interest income earned by the Company’s subsidiary, Frequency Therapeutics Securities Corporation, a Massachusetts Securities Corporation.</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its deferred tax assets at September 30, 2023 and December 31, 2022 because the Company’s management has determined that it is more likely than not that the Company will not recognize the benefits of its federal and state deferred tax assets primarily due to its cumulative loss position.</w:t>
      </w:r>
    </w:p>
    <w:p>
      <w:pPr>
        <w:spacing w:after="0" w:line="183"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Since inception in 2014, the Company has generated cumulative federal and state net operating loss and research and development credit carryforwards for which no net tax benefit has been recorded due to uncertainty around utilizing these tax attributes within the respective carryforward periods.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82"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Collaboration agreement</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License and Collaboration Agreement with Astellas (the Astellas Agreement), under which the Company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(the Astellas Licensed Products), including the product candidate FX-322, outside of the United States. The Company also granted Astellas a right of first negotiation and a right of last refusal if it entered into any negotiation or agreement of any kind (other than an acquisition of all of the stock or assets of the Company) with any third party under which such third party would obtain the right to develop, manufacture, or commercialize Astellas Licensed Products in the United States.</w:t>
      </w:r>
    </w:p>
    <w:p>
      <w:pPr>
        <w:spacing w:after="0" w:line="18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consideration for the licensed rights under the Astellas Agreement, Astellas paid the Company an upfront payment of $80,000 in July 2019 and had agreed to pay potential development milestone payments up to $230,000 and commercialization milestones of up to $315,000. The parties had agreed to share equally, on a 50/50 basis, all out-of-pocket costs and joint study costs for all the joint activities conducted pursuant to the development plans or the joint manufacturing plan.</w:t>
      </w:r>
    </w:p>
    <w:p>
      <w:pPr>
        <w:spacing w:after="0" w:line="180"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On April 11, 2023, Astellas sent the Company a notice stating that Astellas would be terminating the Astellas Agreement on April 14, 2023. The Company agreed to the terms of the notice and on April 14, 2023, the Astellas Agreement was terminated. The Company was not subject to any payments or costs as a result of this termination.</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Astellas Agreement contained joint research and development activities that were not within the scope of ASC 606. The Company invoiced Astellas for all joint costs. In the three and nine months ended September 30, 2023 and 2022, the Company invoiced Astellas $0 and $81 and $36 and $337, respectively, for joint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License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an exclusive patent license agreement (MIT License Agreement) with the Massachusetts Institute of Technology (MIT), under which the Company received an exclusive, worldwide, royalty-bearing license to certain patent rights to develop, make, have made, use, sell, offer to sell, lease and import products (Licensed Products) and to develop and perform processes (Licensed Processes) which incorporate the licensed technology for the treatment of disease, including but not limited to the prevention and remediation of hearing loss. The Company also has the right to grant sublicenses of its rights under the MIT License Agreement.</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April 6, 2023, the Company sent MIT a notice stating that the Company would be terminating the MIT License Agreement in 3-months’ time. The termination became final on July 6, 2023. The Company is not subject to any payments or costs as a result of this termination.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 (California Institute for Biomedical Research)</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September 2018, the Company entered into a license agreement, (CALIBR License Agreement), with the California Institute for Biomedical Research, (CALIBR), under which the Company received an exclusive, worldwide, royalty-bearing license to certain patent rights to make, have made, use, sell, offer to sell, and import products (CALIBR Licensed Products) which incorporate the licensed technology for the treatment of MS. The Company also has the right to grant sublicenses of its rights under the CALIBR License Agreement. CALIBR reserves the right to use for itself and the right to grant non-exclusive licenses to other nonprofit or academic institutions, for any internal research and educational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82" w:right="4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March 29, 2023, the Company sent CALIBR a notice stating that the Company would be terminating the CALIBR License Agreement in 30 days’ time. On April 28, 2023 the CALIBR License Agreement was terminated. The Company is not subject to any payments or costs as a result of this termination.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Eye and Ear (Formerly Massachusetts Eye and Ear Infirmary)</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an Non-Exclusive Patent License Agreement (MEE License Agreement) with the Massachusetts Eye and Ear (MEE) under which it received a non-exclusive, non-sublicensable, worldwide, royalty-bearing license to certain patent rights to develop, make, have made, use, sell, offer to sell, lease and import products and to develop and perform processes which incorporate the licensed technology for the treatment or prevention of hearing loss (MEE licensed products).</w:t>
      </w:r>
    </w:p>
    <w:p>
      <w:pPr>
        <w:spacing w:after="0" w:line="180"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On February 21, 2023, the Company sent MEE a notice stating that the Company would be terminating the MEE License Agreement in 30 business days’ time. On April 4, 2023, the MEE License Agreement was terminated. The Company is not subject to any payments or costs as a result of this termination.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commitments</w:t>
      </w:r>
    </w:p>
    <w:p>
      <w:pPr>
        <w:spacing w:after="0" w:line="121"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The Company also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cancelable by the Company upon prior written notice although, purchase orders for clinical materials are generally non-cancelable. Payments due upon cancellation consist only of payments for services provided or expenses incurred, including non-cancelable obligations of the Company’s service providers, up to the date of cancellation or upon the completion of a manufacturing run.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Company has identified the guarantees described below as disclosable, 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80"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Company leases office space in Lexington, Massachusetts. On August 11, 2023, the Company entered into a termination agreement under which its operating lease will terminate on January 31, 2024. In connection with the termination agreement, the Company reduced the right of use asset and lease liabilities to reflect the remaining lease term. The $1,699 security deposit for this lease is classified as restricted cash as of September 30, 2023.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82" w:right="4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June 3, 2021 and June 22, 2021, purported stockholders of the Company filed putative class action lawsuits in the U.S. District Court for the District of Massachusetts against the Company and the Company’s Chief Executive Officer, President, and Director, David Lucchino. On March 21, 2022, the two lawsuits were consolidated into a single lawsuit, Quinones et al. v. Frequency Therapeutics, Inc. et al. and on May 16, 2022, the Company’s Chief Development Officer, Dr. Carl LeBel, was added as a defendant. The plaintiffs alleged violations of Sections 10(b), 20(a) and Rule 10b5 of the Securities Exchange Act of 1934, as amended (the Exchange Act), due to allegedly false and misleading statements and omissions about the Company’s Phase 2a clinical trial (FX-322-202) for its product candidate FX-322 in the Company’s public disclosures between October 29, 2020 and March 22, 2021. The lawsuit sought, among other things, damages in connection with the Company’s allegedly artificially inflated stock price between October 29, 2020 and March 22, 2021 as a result of those allegedly false and misleading statements and omissions, as well as interest, attorneys’ fees and costs. The Company filed a motion to dismiss the Amended Complaint on July 15, 2022. On March 29, 2023, the Company’s motion to dismiss was granted and the lawsuit was dismissed in its entirety. On April 27, 2023, Plaintiff filed a notice of appeal to the United States Court of Appeals for the First Circuit from the order dismissing the lawsuit. On August 2, 2023, Plaintiff-Appellant submitted its opening brief to the First Circuit. The Company filed its response brief on October 27, 2023. This matter is at the very early stages of the legal process, and as a result, the Company is not able to estimate a range of possible loss. Since an estimate of the possible loss or range of loss cannot be made at this time, no accruals have been recorded as of September 30, 2023.</w:t>
      </w:r>
    </w:p>
    <w:p>
      <w:pPr>
        <w:spacing w:after="0" w:line="19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June 21, 2022, the Delaware Chancery Court dismissed a lawsuit brought by two purported stockholders against the Company and others. For previously reported information on this lawsuit, refer to Part I, Item 3, “Legal Proceedings” of the Company’s 2021 Form 10-K. On August 16, 2022, these same two purported stockholders of the Company filed a similar lawsuit in Delaware Superior Court against (i) the Company, (ii) Computershare Inc., and (iii) Computershare Trust Company, N.A., entitled The Gregory J. Parseghian Revocable Trust, et al. v. Frequency Therapeutics, Inc., et al. The lawsuit alleges causes of action against the Company for breach of the statutory duty of care, negligence, conversion, and unjust enrichment, based on allegations that actions were taken to prevent the purported stockholders from selling their shares in the Company. The Company filed a motion to dismiss the complaint on November 14, 2022. On May 18, 2023, the Court issued an order granting in part and denying in part the Company’s motion, dismissing the claims for breach of the statutory duty of care and unjust enrichment but leaving the remaining claims intact. On October 31, 2023, the parties reached an agreement to resolve all issues related to or arising from the allegations in the lawsuit. The Company agreed to pay $1,675 to the two purported stockholders in exchange for a release of all claims. This payment is accrued as of September 30, 2023.</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82"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June 30, 2022, a purported stockholder of the Company filed a shareholder derivative complaint in the U.S. District Court for the District of Delaware purportedly on the Company’s behalf against members of the Company’s board of directors and the Company as a nominal defendant, entitled </w:t>
      </w:r>
      <w:r>
        <w:rPr>
          <w:rFonts w:ascii="Times New Roman" w:cs="Times New Roman" w:eastAsia="Times New Roman" w:hAnsi="Times New Roman"/>
          <w:sz w:val="18"/>
          <w:szCs w:val="18"/>
          <w:i w:val="1"/>
          <w:iCs w:val="1"/>
          <w:color w:val="auto"/>
        </w:rPr>
        <w:t xml:space="preserve">Dewey v. Cohen et. al. </w:t>
      </w:r>
      <w:r>
        <w:rPr>
          <w:rFonts w:ascii="Times New Roman" w:cs="Times New Roman" w:eastAsia="Times New Roman" w:hAnsi="Times New Roman"/>
          <w:sz w:val="18"/>
          <w:szCs w:val="18"/>
          <w:color w:val="auto"/>
        </w:rPr>
        <w:t>The complaint alleges (i) violations of Section 10(b) and Rule 10b5 of the Exchange Act, (ii) breach of fiduciary duty, (iii) aiding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abetting breach of fiduciary duty, (iv) unjust enrichment, and (v) waste of corporate assets. The claims are based on the same underlying allegations as the </w:t>
      </w:r>
      <w:r>
        <w:rPr>
          <w:rFonts w:ascii="Times New Roman" w:cs="Times New Roman" w:eastAsia="Times New Roman" w:hAnsi="Times New Roman"/>
          <w:sz w:val="18"/>
          <w:szCs w:val="18"/>
          <w:i w:val="1"/>
          <w:iCs w:val="1"/>
          <w:color w:val="auto"/>
        </w:rPr>
        <w:t>Quinones</w:t>
      </w:r>
      <w:r>
        <w:rPr>
          <w:rFonts w:ascii="Times New Roman" w:cs="Times New Roman" w:eastAsia="Times New Roman" w:hAnsi="Times New Roman"/>
          <w:sz w:val="18"/>
          <w:szCs w:val="18"/>
          <w:color w:val="auto"/>
        </w:rPr>
        <w:t xml:space="preserve"> case (described above). The complaint seeks, among other things, monetary damages, interest, attorneys’ fees and costs. On September 27, 2022, this lawsuit was stayed pending final resolution of the </w:t>
      </w:r>
      <w:r>
        <w:rPr>
          <w:rFonts w:ascii="Times New Roman" w:cs="Times New Roman" w:eastAsia="Times New Roman" w:hAnsi="Times New Roman"/>
          <w:sz w:val="18"/>
          <w:szCs w:val="18"/>
          <w:i w:val="1"/>
          <w:iCs w:val="1"/>
          <w:color w:val="auto"/>
        </w:rPr>
        <w:t>Quinones</w:t>
      </w:r>
      <w:r>
        <w:rPr>
          <w:rFonts w:ascii="Times New Roman" w:cs="Times New Roman" w:eastAsia="Times New Roman" w:hAnsi="Times New Roman"/>
          <w:sz w:val="18"/>
          <w:szCs w:val="18"/>
          <w:color w:val="auto"/>
        </w:rPr>
        <w:t xml:space="preserve"> case. This matter was voluntarily dismissed by the plaintiff on October 17,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Sublease</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On July 8, 2022, the Company entered into a Sublease Agreement with a sublessee to sublease approximately 30,040 rentable square feet of the Company’s office space in Lexington, MA for a two-year term. The base sublease rent per month for the first and second year of the sublease is $197 and $203, respectively. In addition to base rent, the sublessee will pay 49% of operating costs and taxes payable under the Company’s lease for the Lexington, MA office space. On August 11, 2023 the Company entered into a Sublease Termination Agreement with the sublessee, pursuant to which the parties agreed to terminate the Sublease Agreement on January 31, 2024. The Company is not subject to any payments or costs as a result of the termination.</w:t>
      </w:r>
    </w:p>
    <w:p>
      <w:pPr>
        <w:spacing w:after="0" w:line="187"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Since commencement, the Company has accounted for the Lexington, MA office space as an operating lease. In accordance with ASC 842, the Company concluded the sublease is also an operating lease. The Company recognized sublease income of $580 and $1,766 for the three and nine months ended September 30, 2023. The below table shows the expected future sublease income as of September 30, 2023.</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Sublease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vMerge w:val="continue"/>
          </w:tcPr>
          <w:p>
            <w:pPr>
              <w:spacing w:after="0"/>
              <w:rPr>
                <w:sz w:val="15"/>
                <w:szCs w:val="15"/>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574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sublease income</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February 13, 2023, the Company announced the topline results for the Phase 2b study of FX-322 (FX-322-208) which failed to achieve its primary efficacy endpoint of an improvement in speech perception. As a result, the Company also announced that it would be discontinuing the FX-322 and FX-345 hearing development programs and focusing resources on its remyelination in MS development program. This restructuring resulted in a 55% reduction in the Company’s workforce.</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2023, the Company incurred $4,329 in restructuring-related expenses. The total restructuring charges consist of accelerated depreciation expense of $360, accelerated hearing program expense of $129, and severance and other benefit-related costs of $3,840.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nine months ended September 30, 2023, the following restructuring-related charges were included in the Consolidated Statement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Operations: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34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400" w:type="dxa"/>
            <w:vAlign w:val="bottom"/>
          </w:tcPr>
          <w:p>
            <w:pPr>
              <w:spacing w:after="0"/>
              <w:rPr>
                <w:sz w:val="13"/>
                <w:szCs w:val="13"/>
                <w:color w:val="auto"/>
              </w:rPr>
            </w:pPr>
          </w:p>
        </w:tc>
        <w:tc>
          <w:tcPr>
            <w:tcW w:w="2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Accelerated hearing</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4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benefit-related costs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program charges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360</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129</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3,840</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360</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F-18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2023, the liability for the restructuring is classified as current and included in accrued expenses in the Consolidated Balance Sheets.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9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Accelerated hearing</w:t>
            </w:r>
          </w:p>
        </w:tc>
        <w:tc>
          <w:tcPr>
            <w:tcW w:w="22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940" w:type="dxa"/>
            <w:vAlign w:val="bottom"/>
          </w:tcPr>
          <w:p>
            <w:pPr>
              <w:spacing w:after="0"/>
              <w:rPr>
                <w:sz w:val="13"/>
                <w:szCs w:val="13"/>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program charges</w:t>
            </w:r>
          </w:p>
        </w:tc>
        <w:tc>
          <w:tcPr>
            <w:tcW w:w="94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benefit-related costs</w:t>
            </w:r>
          </w:p>
        </w:tc>
        <w:tc>
          <w:tcPr>
            <w:tcW w:w="9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balance as of December 31, 2022</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charges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916</w:t>
            </w:r>
          </w:p>
        </w:tc>
        <w:tc>
          <w:tcPr>
            <w:tcW w:w="9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balance as of September 30, 2023</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916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evaluated subsequent events for recognition, remeasurement and disclosure purposes. The identified subsequent event is as follows: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November 3, 2023, the Company effected a reverse stock split of its common stock at a ratio of 1-for-50 (the “Reverse Split”). Upon the effectiveness of the Reverse Split, (i) every 50 shares of outstanding common stock were reclassified and combined into one share of common stock, and (ii) the number of shares of common stock for which each outstanding option to purchase common stock is exercisable was proportionally decreased and the exercise price of each outstanding option to purchase common stock proportionally increased. No fractional shares were issued as a result of the Reverse Split. Accordingly, all share and per share amounts for all periods presented in these financial statements and notes thereto have been adjusted retroactively, where applicable, to reflect the Reverse Split and adjustment of the exercise price of each outstanding option as if the transaction had occurred as of the beginning of the earliest period presented.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82"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Frequency Therapeutics,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Frequency Therapeutics, Inc. and its subsidiaries (the Company) as of December 31, 2022 and 2021, the related consolidated statements of operations, comprehensive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10, 2023, except for the effect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reverse stock split discussed in Note 19b,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which the date is December 1,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82" w:right="4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51,954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79,635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31,143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51,072</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4,041</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87,493</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134,748</w:t>
            </w:r>
          </w:p>
        </w:tc>
        <w:tc>
          <w:tcPr>
            <w:tcW w:w="12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11,719</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5,522</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28,980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31,350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1,699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121,238</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185,358</w:t>
            </w:r>
          </w:p>
        </w:tc>
        <w:tc>
          <w:tcPr>
            <w:tcW w:w="12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2,748</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5,891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21,026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11,429</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26,761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28,851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4,167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52,043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54,534</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7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 outstanding at December 31, 2022 and December 31, 2021, respectively</w:t>
            </w:r>
          </w:p>
        </w:tc>
        <w:tc>
          <w:tcPr>
            <w:tcW w:w="1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705,242 and 692,224 shares issued and outstanding at December 31, 2022</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331,057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310,970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(261,665)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(180,085)</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12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121,238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185,358</w:t>
            </w:r>
          </w:p>
        </w:tc>
      </w:tr>
      <w:tr>
        <w:trPr>
          <w:trHeight w:val="20"/>
        </w:trPr>
        <w:tc>
          <w:tcPr>
            <w:tcW w:w="7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82"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60,923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37,176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98,099</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(83,002)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(84,031)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(81,582)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(84,671)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(81,580)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(84,686)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(123.26)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701,518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687,025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82"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608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$(81,580)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$(84,686)</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(81,716)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(84,775)</w:t>
            </w:r>
          </w:p>
        </w:tc>
      </w:tr>
      <w:tr>
        <w:trPr>
          <w:trHeight w:val="20"/>
        </w:trPr>
        <w:tc>
          <w:tcPr>
            <w:tcW w:w="6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82"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20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600" w:type="dxa"/>
            <w:vAlign w:val="bottom"/>
            <w:gridSpan w:val="3"/>
            <w:vMerge w:val="continue"/>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1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94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679,280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287,863</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(95,399</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192,492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Purchases under Employee Stock Purchase</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12,846</w:t>
            </w: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(84,686)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(84,686)</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692,224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310,970</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(180,085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19,831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19,831</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Purchases under Employee Stock Purchase</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equity</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(81,580)</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705,242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331,057</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(261,665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82"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(81,580)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(84,686)</w:t>
            </w:r>
          </w:p>
        </w:tc>
        <w:tc>
          <w:tcPr>
            <w:tcW w:w="0" w:type="dxa"/>
            <w:vAlign w:val="bottom"/>
          </w:tcPr>
          <w:p>
            <w:pPr>
              <w:spacing w:after="0"/>
              <w:rPr>
                <w:sz w:val="1"/>
                <w:szCs w:val="1"/>
                <w:color w:val="auto"/>
              </w:rPr>
            </w:pPr>
          </w:p>
        </w:tc>
      </w:tr>
      <w:tr>
        <w:trPr>
          <w:trHeight w:val="198"/>
        </w:trPr>
        <w:tc>
          <w:tcPr>
            <w:tcW w:w="9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(58,237)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(76,059)</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(54,222)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(92,445)</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marketable securities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29,233</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(66,126)</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loan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(27,681)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(140,827)</w:t>
            </w:r>
          </w:p>
        </w:tc>
        <w:tc>
          <w:tcPr>
            <w:tcW w:w="0" w:type="dxa"/>
            <w:vAlign w:val="bottom"/>
          </w:tcPr>
          <w:p>
            <w:pPr>
              <w:spacing w:after="0"/>
              <w:rPr>
                <w:sz w:val="1"/>
                <w:szCs w:val="1"/>
                <w:color w:val="auto"/>
              </w:rPr>
            </w:pPr>
          </w:p>
        </w:tc>
      </w:tr>
      <w:tr>
        <w:trPr>
          <w:trHeight w:val="198"/>
        </w:trPr>
        <w:tc>
          <w:tcPr>
            <w:tcW w:w="9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222,161</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81,334</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82"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Frequency Therapeutics, Inc., together with its wholly owned subsidiaries, Frequency Therapeutics, PTY, LTD, Frequency Therapeutics Securities Corporation and Frequency Therapeutics Japan KK (Frequency Japan) (the Company), headquartered in Lexington, Massachusetts, was incorporated in November 2014 as a Delaware corporation. Frequency Japan was closed down in February 2021. The Company is a preclinical-stage regenerative medicine company focused on developing therapeutics to activate a person’s innate regenerative potential to restore function.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private and public securities financings, a term loan, and amounts received under a collaboration agreement. The Company has incurred recurring losses since its inception. In addition, as of December 31, 2022, the Company had an accumulated deficit of $261,665.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be sufficient to fund planned operations for at least 12 months from the date the financial statements were available to be issued.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consolidated financial statements are to the FASB </w:t>
      </w:r>
      <w:r>
        <w:rPr>
          <w:rFonts w:ascii="Times New Roman" w:cs="Times New Roman" w:eastAsia="Times New Roman" w:hAnsi="Times New Roman"/>
          <w:sz w:val="18"/>
          <w:szCs w:val="18"/>
          <w:i w:val="1"/>
          <w:iCs w:val="1"/>
          <w:color w:val="auto"/>
        </w:rPr>
        <w:t>Accounting Standards</w:t>
      </w:r>
      <w:r>
        <w:rPr>
          <w:rFonts w:ascii="Times New Roman" w:cs="Times New Roman" w:eastAsia="Times New Roman" w:hAnsi="Times New Roman"/>
          <w:sz w:val="18"/>
          <w:szCs w:val="18"/>
          <w:color w:val="auto"/>
        </w:rPr>
        <w:t xml:space="preserve"> Codification (ASC).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Frequency Therapeutics, Inc. and its wholly owned subsidiaries Frequency Therapeutics Securities Corporation, Frequency Therapeutics PTY, LTD and Frequency Japan through the date of its dissolution. All intercompany transactions and balances have been eliminated.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liabilities, revenue, expenses and related disclosure of contingent assets and liabilities at the date of the consolidated financial statements and reported amounts of expenses during the reporting period. On an ongoing basis, the Company’s management evaluates its estimates, which include but are not limited to management’s judgments of accrued expenses, revenue recognition, fair value of common stock, valuation of share-based awards, present value of lease liabilities and income taxes. Actual results could differ from those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31"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Components of comprehensive loss, including net loss, are reported in the financial statements in the period in which they are recognized. Other comprehensive loss is defined as the change in equity during a period from</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82" w:right="4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transactions and other events and circumstances from non-owner sources. Net loss and other comprehensive loss are reported net of any related tax effect to arrive at comprehensive loss. Comprehensive loss includes net loss as well as other changes in stockholders’ equity that result from transactions and economic events other than those with stockholders which for the years ended December 31, 2022 and 2021 consist of unrealized loss on marketable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the Company’s chief executive officer, view the Company’s operations and manage its business as a single operating segment, which is in the business of developing therapeutics to activate a person’s innate regenerative potential to restore function.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All periods presented are reported in US dollars. The functional currency for entities outside the United States is the US dollar. Realized and unrealized gains and losses from foreign currency transactions are reflected in the consolidated statements of operations as other expense. During the years ended December 31, 2022 and 2021 the Company recorded $5 of foreign currency exchange loss and $16 of foreign currency exchange gain, respectively.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six months or less at acquisition to be cash equivalents which are stated at fair market value. Cash and cash equivalents at December 31, 2022 and 2021 consists entirely of cash and money market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has $1,699 of restricted cash as of December 31, 2022 and December 31, 2021, which represents a security deposit on the Company’s Lexington, Massachusetts facility.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Marketable securities represent holdings of available-for-sale marketable debt securities in accordance with the Company’s investment policy. Short-term marketable securities mature within one year from the balance sheet date while long-term marketable securities mature after one year. Investments in marketable securities are recorded at fair value, with any unrealized gains and losses reported within accumulated other comprehensive income as a separate component of stockholders’ equity until realized or until a determination is made that an other-than-temporary decline in market value has occurred. The amortized cost of debt securities is adjusted for amortization of premiums and accretion of discounts to maturity. Such amortization and accretion are reflected as a component of other expense. Interest on securities sold is determined based on the specific identification method and reflected as interest income. Any realized gains or losses on the sale of investment are reflected as realized gain (loss) on investments.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marketable securities. The Company maintains its cash, cash equivalents, and restricted cash at several accredited financial institutions, in amounts that exceed federally insured limits. Marketable securities consist of short term and long term investments. Management believes that the Company is not exposed to significant credit risk due to the financial position of the depository institutions in which its money market accounts are maintained.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82"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Company has no significant off-balance sheet arrangements such as foreign exchange contracts, option contracts, or other foreign hedging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suppliers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of its programs, including preclinical and clinical testing. In particular, the Company relies and expects to continue to rely on a single manufacturer of its product candidates for use in clinical trials. The Company would be adversely affected by a significant interruption in the supply of product for use in clinical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upon sale of an asset or paid to transfer a liability between market participants at measurement dates.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three-level valuation hierarchy for instruments measured at fair value. The hierarchy is based on the transparency of inputs to the valuation of an asset or liability as of the measurement date. The hierarchy defines three levels of valuation inputs, of which the first two are considered observable and the last is considered unobservable: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included within Level 1 that are either directly or indirectly observable, such as quoted market prices, interest rates and yield curves.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Level 3 Unobservable inputs developed using estimates or assumptions developed by the Company, which reflect those that a market participant would use in pricing the asset or liability.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 for prepaid expenses and other current assets, accounts payable, accrued expenses, other liabilities, and term loan are shown at their historical values which approximate their fair values.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Property and equipment consist of lab equipment, furniture and office equipment and software recorded at cost. These amounts are depreciated using the straight-line method over the estimated useful lives of the assets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20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5840" w:type="dxa"/>
            <w:vAlign w:val="bottom"/>
            <w:vMerge w:val="continue"/>
          </w:tcPr>
          <w:p>
            <w:pPr>
              <w:spacing w:after="0"/>
              <w:rPr>
                <w:sz w:val="16"/>
                <w:szCs w:val="16"/>
                <w:color w:val="auto"/>
              </w:rPr>
            </w:pPr>
          </w:p>
        </w:tc>
        <w:tc>
          <w:tcPr>
            <w:tcW w:w="5180" w:type="dxa"/>
            <w:vAlign w:val="bottom"/>
            <w:tcBorders>
              <w:top w:val="single" w:sz="8" w:color="auto"/>
            </w:tcBorders>
          </w:tcPr>
          <w:p>
            <w:pPr>
              <w:ind w:left="4660"/>
              <w:spacing w:after="0" w:line="191" w:lineRule="exact"/>
              <w:rPr>
                <w:sz w:val="20"/>
                <w:szCs w:val="20"/>
                <w:color w:val="auto"/>
              </w:rPr>
            </w:pPr>
            <w:r>
              <w:rPr>
                <w:rFonts w:ascii="Times New Roman" w:cs="Times New Roman" w:eastAsia="Times New Roman" w:hAnsi="Times New Roman"/>
                <w:sz w:val="18"/>
                <w:szCs w:val="18"/>
                <w:color w:val="auto"/>
                <w:w w:val="97"/>
              </w:rPr>
              <w:t>3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20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520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the assets disposed of and the related accumulated depreciation are eliminated from the balance sheet and related gains or losses are reflected in the consolidated statements of operations.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82"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did not recognize any impairment losses for the years ended December 31, 2022 and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and accruals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research institutions, contract research organizations, contract manufacturers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are charged to research and development expense as acquired in-process research and development if the technology licensed has not reached technological feasibility and has no alternative future use.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or contains, a lease at inception and, if so, records a right-of-use (ROU) asset and a lease liability on the consolidated balance sheet for any lease with a term longer than 12 months.</w:t>
      </w:r>
    </w:p>
    <w:p>
      <w:pPr>
        <w:spacing w:after="0" w:line="16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ROU assets and liabilities are recognized at the lease commencement date based on the present value of lease payments to be made over the lease term. The ROU asset also includes any lease payments made at or before the lease commencement date and excludes lease incentives received. As the Company’s lease does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18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19"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 xml:space="preserve">The Company analyzes its collaborative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82"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(e.g., a licensing arrangement) where the contracted party has obtained goods or services that are an output of the Company’s ordinary activities in exchange for a consideration and therefore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those elements of the arrangement that are accounted for pursuant to ASC 606, including those to which ASC 606 is applied by analogy, the Company applies the five-step model described in the Company’s revenue recognition policy. For elements of collaborative arrangements that are accounted for pursuant to ASC 808, an appropriate and rational recognition method is determined and applied consistently. Reimbursements from the counterparty that are the result of a collaborative relationship with the counterparty, instead of a customer relationship, such as co-development or clinical activities, are recorded as a reduction to research and development expense as the services are performed. Similarly, amounts that are owed to a collaboration partner related to the co-development clinical activities are recognized as research and development expense.</w:t>
      </w:r>
    </w:p>
    <w:p>
      <w:pPr>
        <w:spacing w:after="0" w:line="19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enters into out-licensing agreements that are within the scope of ASC 606. The terms of such out-license agreements include licenses to functional intellectual property (IP), given the functionality of the intellectual property is not expected to change substantially as a result of the licensor’s ongoing activities. Such arrangements typically include payment of one or more of the following: non-refundable up-front license fees; reimbursement of certain costs; development and regulatory milestone payments and milestone payments based on the level of sales; and royalties on net sales of licensed products.</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considers the economic and regulatory characteristics of the licensed IP, research, development, manufacturing and commercialization capabilities of the licensee and the availability of the associated expertise in the general marketplace to determine if it has standalone value at the inception of the licensing arrangement, which would make the license distinct. In addition, the Company considers whether the licensee can benefit from a promise for its intended purpose without the receipt of any additional good or services promised in the contract, whether the value of the license is dependent on the remaining goods and services, whether there are other vendors that could provide the remaining promise, and whether the license is separately identifiable from the remaining good and services. For licenses that are combined with other goods and services,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progress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9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Revenue is allocated to the licensed IP on a relative standalone selling price basis and, for functional IP, is recognized at a point when the licensed IP is made available for the customer’s use and benefit, which generally occurs at the inception of the arrangement. However, in cases, where the functionality of the IP is expected to substantively change as a result of activities of the Company that do not transfer additional promised goods or services, or in cases, where there is an expectation that the Company will undertake activities to change the standalone functionality of the IP and the customer is contractually or practically required to use the latest version of the IP, revenue for the license to functional IP is recognized over time.</w:t>
      </w:r>
    </w:p>
    <w:p>
      <w:pPr>
        <w:spacing w:after="0" w:line="183"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Development and regulatory milestone fees, which are a type of variable consideration, are recognized as revenue to the extent that it is probable that a significant reversal will not occur. The Company recognizes royalty revenue and sales-based milestones at the later of (i) when the related sales occur, or</w:t>
      </w:r>
    </w:p>
    <w:p>
      <w:pPr>
        <w:spacing w:after="0" w:line="1" w:lineRule="exact"/>
        <w:rPr>
          <w:sz w:val="20"/>
          <w:szCs w:val="20"/>
          <w:color w:val="auto"/>
        </w:rPr>
      </w:pPr>
    </w:p>
    <w:p>
      <w:pPr>
        <w:ind w:left="5460" w:right="4160" w:hanging="5344"/>
        <w:spacing w:after="0" w:line="433" w:lineRule="auto"/>
        <w:tabs>
          <w:tab w:leader="none" w:pos="38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performance obligation to which the royalty has been allocated has been satisfied. F-30</w:t>
      </w:r>
    </w:p>
    <w:p>
      <w:pPr>
        <w:sectPr>
          <w:pgSz w:w="11900" w:h="16838" w:orient="portrait"/>
          <w:cols w:equalWidth="0" w:num="1">
            <w:col w:w="11140"/>
          </w:cols>
          <w:pgMar w:left="320" w:top="482"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color w:val="auto"/>
        </w:rPr>
        <w:t>The Company has entered into a collaboration arrangement with Astellas Pharma Inc. (Astellas), as further described in Note 13,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of notes to consolidated financial statements.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accounts for contracts with customers in accordance with ASC 606, including all amendments thereto. This standard applies to all contracts with customers, except for contracts that are within the scope of other standards, such as collaborative arrangements and leases. The Company’s disclosure within the below sections or elsewhere within these consolidated financial statements reflects the Company’s accounting policies in compliance with this standard.</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ASC 606, an entity recognizes revenue when or as its customer obtains control of promised goods or services, in an amount that reflects the consideration that the entity expects to receive in exchange for those goods or services. To recognize revenue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its performance obligations. The Company only applies the five-step model to contracts when it is probable that the entity will collect substantially all of the consideration to which it will be entitled in exchange for the goods or services it transfers to the customer. Once a contract is determined to be within the scope of ASC 606, the Company assesses the goods or services promised within each contract and identifies as a performance obligation each promise to transfer to the customer either (a) a good or service (or bundle of goods and services) that is distinct, or (b) a series of distinct goods and services that are substantially the same and have been the same pattern of transfer to the customer.</w:t>
      </w:r>
    </w:p>
    <w:p>
      <w:pPr>
        <w:spacing w:after="0" w:line="194"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w:t>
      </w:r>
    </w:p>
    <w:p>
      <w:pPr>
        <w:spacing w:after="0" w:line="1" w:lineRule="exact"/>
        <w:rPr>
          <w:sz w:val="20"/>
          <w:szCs w:val="20"/>
          <w:color w:val="auto"/>
        </w:rPr>
      </w:pPr>
    </w:p>
    <w:p>
      <w:pPr>
        <w:ind w:left="120" w:right="20" w:hanging="4"/>
        <w:spacing w:after="0" w:line="251" w:lineRule="auto"/>
        <w:tabs>
          <w:tab w:leader="none" w:pos="33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manufacturing and commercialization capabilities of the collaboration partner (the “customer” in this type of arrangement)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 For each arrangement that results in revenues, the Company identifies all performance obligations, which may include, for example, a license to IP and know-how, research and development activities, and/or manufacturing services.</w:t>
      </w:r>
    </w:p>
    <w:p>
      <w:pPr>
        <w:spacing w:after="0" w:line="19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to any upfront payment,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estimated variable consideration in the transaction price to the extent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82"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an arrangement includes development and regulatory milestone payments, the Company evaluates whether the milestones are considered probable of being reached and estimates the amount to be included in the transaction price using the most likely amount method. There is considerable judgment involved in determining whether it is probable that a significant revenue reversal would not occur. If it is probable that a significant revenue reversal will not occur, the associated milestone value is included in the transaction price. Milestone payments that are not within the control of the Company or of the licensee such as regulatory approvals, are generally not considered probable of being achieved until those approvals are received.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For contracts that include sales-based royalties (including milestone payments based on the level of sales) promised in the exchange for licenses of intellectual property, and the license is deemed to be the predominant item to which the royalties relate, the Company recognizes royalty revenue and sales-based milestone payments at the later of (i) when the related sales occur, or (ii) when the performance obligation to which some or all of the royalty has been allocated has been satisfied. In determining the transaction price, the Company adjusts the promised amount of consideration for the effects of the time value of money if the timing of payments provides the Company or the Company’s customer with a significant benefit of financing the transfer of goods and services. The Company does not assess whether a contract has a significant financing component if the expectation at contract inception is such that the period between payment by the licensees and the transfer of the promised goods or services to the licensees will be one year or less. The Company assesses each of its revenue generating arrangements in order to determine whether a significant financing component exists. The Company recognizes as revenue the amount of the transaction price that is allocated to the respective performance obligation when (or as) each performance obligation is satisfied, either at a point in time or over time. For performance obligations satisfied over time, the Company measures progress toward completion of its performance obligations using an input method based on the Company’s efforts and inputs to satisfy its performance obligations relative to total expected inputs to the satisfaction of that performance obligation.</w:t>
      </w:r>
    </w:p>
    <w:p>
      <w:pPr>
        <w:spacing w:after="0" w:line="19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Amounts received from a customer prior to revenue recognition are recorded as deferred revenue. Amounts received from a customer that are expected to be recognized as revenue within the 12 months following the balance sheet date are classified as a current liability in the accompanying consolidated balance sheets.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expenses patent application and related legal costs as incurred and classifies such costs as general and administrative expenses in the accompanying consolidated statements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share-based payments to employees and directors to be recognized as expense in the consolidated statements of operations and comprehensive loss based on their grant date fair values. The Company adopted FASB Accounting Standards Update (ASU) 2016-09 which identifies areas for simplification of several areas of share-based payment transactions. The Company treats non-employee grants in a manner consistent with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18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(a) the expected stock price volatility, (b) the expected term of the award, (c) the risk-free interest rate and (d) expected dividends. Due to the lack of sufficient company-specific historical and implied volatility data,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82"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88"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Company expenses the fair value of its share-based compensation awards to employees and non-employees on a straight-line basis over the requisite service period, which is generally the vesting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using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2022 and 2021, the Company has concluded that a full valuation allowance is necessary for its deferred tax assets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Diluted net loss per share is the same as basic net loss per share for the years ended December 31, 2022 and 2021 since all potential shares of common stock instruments are anti-dilutive as a result of the loss for such periods.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4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(81,580)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(84,686)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701,518</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687,025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(116.29)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(123.26)</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F-33</w:t>
            </w: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Measurement of Credit Losses on Financial Instruments. The FASB has subsequently issued amendments to ASU 2016-13, which have the same effective date and transition date. These standards require that credit losses be reported using an expected losses model rather than the incurred losses model that was previously used, and establishes additional disclosures related to credit risks. For available-for-sale debt securities with unrealized losses, this standard now requires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adopted this standard on January 1, 2023 and it did not have a material impact on the consolidated financial statements.</w:t>
      </w: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measures at fair value on a recurring basis by level within the fair value hierarchy at December 31, 2022 and 2021 are summarized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10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320" w:type="dxa"/>
            <w:vAlign w:val="bottom"/>
          </w:tcPr>
          <w:p>
            <w:pPr>
              <w:spacing w:after="0"/>
              <w:rPr>
                <w:sz w:val="10"/>
                <w:szCs w:val="10"/>
                <w:color w:val="auto"/>
              </w:rPr>
            </w:pPr>
          </w:p>
        </w:tc>
        <w:tc>
          <w:tcPr>
            <w:tcW w:w="1360" w:type="dxa"/>
            <w:vAlign w:val="bottom"/>
            <w:gridSpan w:val="5"/>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30,648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6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31,280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31,143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61,928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61,792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51,116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51,072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11,719</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111,040</w:t>
            </w: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900" w:type="dxa"/>
            <w:vAlign w:val="bottom"/>
            <w:gridSpan w:val="5"/>
            <w:vMerge w:val="restart"/>
          </w:tcPr>
          <w:p>
            <w:pPr>
              <w:ind w:left="1280"/>
              <w:spacing w:after="0"/>
              <w:rPr>
                <w:sz w:val="20"/>
                <w:szCs w:val="20"/>
                <w:color w:val="auto"/>
              </w:rPr>
            </w:pPr>
            <w:r>
              <w:rPr>
                <w:rFonts w:ascii="Times New Roman" w:cs="Times New Roman" w:eastAsia="Times New Roman" w:hAnsi="Times New Roman"/>
                <w:sz w:val="18"/>
                <w:szCs w:val="18"/>
                <w:color w:val="auto"/>
              </w:rPr>
              <w:t>F-34</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290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82" w:right="5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At December 31, 2022 and 2021, we held 14 and 18 debt securities, respectively, that were in an unrealized loss position. The unrealized losses at December 31, 2022 and 2021 were attributable to changes in interest rates and do not represent credit losses. The Company does not intend to sell the investments before recovery of their amortized cost bases, which may be at maturity. All investments mature within twelve months from December 31, 2022. The following tables summarize the Company’s debt securities in an unrealized loss position, aggregated by length of time in a continuous unrealized loss position.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2"/>
                <w:szCs w:val="12"/>
                <w:color w:val="auto"/>
              </w:rPr>
            </w:pPr>
          </w:p>
        </w:tc>
        <w:tc>
          <w:tcPr>
            <w:tcW w:w="2000" w:type="dxa"/>
            <w:vAlign w:val="bottom"/>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7"/>
        </w:trPr>
        <w:tc>
          <w:tcPr>
            <w:tcW w:w="432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r>
      <w:tr>
        <w:trPr>
          <w:trHeight w:val="173"/>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80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9,927</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9,927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6"/>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73"/>
              </w:rPr>
              <w:t>(29)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0"/>
              </w:rPr>
              <w:t>32,991</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73"/>
              </w:rPr>
              <w:t>(29)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11,719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44,710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44,710</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deposits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2,084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include the following: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$2,766 and $2,775 of depreciation expense for the years ended December 31, 2022 and 2021,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82"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related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research and development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4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5,891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6,101</w:t>
            </w:r>
          </w:p>
        </w:tc>
      </w:tr>
      <w:tr>
        <w:trPr>
          <w:trHeight w:val="20"/>
        </w:trPr>
        <w:tc>
          <w:tcPr>
            <w:tcW w:w="4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December 11, 2020, the Company entered into a Loan and Security Agreement (Loan Agreement) with a commercial bank for a term loan with a principal balance of $15,000. The Company made monthly interest only payments through November 30, 2022. The principal balance and interest will be repaid in equal monthly installments after the interest only period and continue through May 1, 2024 (Loan Maturity Date). Advances under the Loan Agreement will bear an interest rate equal to the greater of either (i) 1.50% plus the Prime Rate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subject to</w:t>
      </w:r>
    </w:p>
    <w:p>
      <w:pPr>
        <w:spacing w:after="0" w:line="3"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an interest rate floor of zero) or (ii) 4.75%. The interest rate at December 31, 2022 was 9.0%. Interest expense related to the Loan Agreement was $961 for the year ended December 31, 2022 and $764 for the year ended December 31, 2021.</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may prepay the advance made under the Loan Agreement in whole, at any time subject to a prepayment premium equal to: (a) 2.0% of the then-outstanding principal amount of the advance, if such prepayment occurs on or prior to the first anniversary of the Closing Date; (b) 1.0% of the then-outstanding principal amount of the advance, if such prepayment occurs after the first anniversary of the Closing Date and on or prior to the second anniversary of the Closing Date; and (c) 0.0% of the then-outstanding principal amount of the advance, if such prepayment occurs after the second anniversary of the Closing Date. The prepayment premium is waived if the term loan is refinanced by the bank (in its sole and absolute discretion) on or prior to the Loan Maturity Date.</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will pay a final payment of $150, which will occur on the earliest of: (i) the Loan Maturity Date; (ii) the date that the Company prepays all of the outstanding principal in full; (iii) the date the loan payments are accelerated due to an event of default; or (iv) the termination of the Loan Agreement. The Company is accruing the final payment over the term of the loan. The term loan is secured by substantially all of the Company’s assets, excluding intellectual property.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has authorized 10,000,000 shares of $0.001 par value preferred stock of which no shares were issued or outstanding as of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has authorized 200,000,000 shares of $0.001 par value common stock of which 705,242 were issued and outstanding as of December 31, 2022. Common shares are voting, and dividends may be paid when, as and if declared by the Board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82"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as of December 31, 2022 and 2021:</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114,841</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136,601</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grant under stock option plan</w:t>
            </w: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19,764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31,053</w:t>
            </w:r>
          </w:p>
        </w:tc>
      </w:tr>
      <w:tr>
        <w:trPr>
          <w:trHeight w:val="27"/>
        </w:trPr>
        <w:tc>
          <w:tcPr>
            <w:tcW w:w="6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134,605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167,654</w:t>
            </w:r>
          </w:p>
        </w:tc>
      </w:tr>
      <w:tr>
        <w:trPr>
          <w:trHeight w:val="20"/>
        </w:trPr>
        <w:tc>
          <w:tcPr>
            <w:tcW w:w="6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an Equity Distribution Agreement (Sales Agreement) with Oppenheimer &amp; Co. Inc. (Sales Agent) to sell shares of the Company’s common stock, par value $0.001 per share, with aggregate gross sales proceeds of up to $125,000, from time to time, through an “at the market” equity offering program. Subject to the terms and conditions of the Sales Agreement, the Sales Agent may sell the shares by methods deemed to be an “at the market offering” as defined in Rule 415 promulgated under the Securities Act of 1933, as amended, including sales made through The Nasdaq Global Select Market, on any other existing trading market for the Common Stock, to or through a market maker, or, if expressly authorized by the Company, in privately negotiated transactions. The Company or Sales Agent may terminate the Sales Agreement upon notice to the other party and subject to other conditions. The Company will pay the Sales Agent a commission equal to 3.0% of the gross proceeds of any Common Stock sold through the Sales Agent under the Sales Agreement and has provided the Sales Agent with customary indemnification rights.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Issuance costs incurred related to the Sales Agreement are classified as long-term assets on the balance sheet at December 31,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November 13, 2014, the Company adopted the 2014 Stock Incentive Plan (2014 Plan). All of the Company’s employees, officers, directors, and consultants are eligible to be granted options to purchase common shares and restricted stock under the terms of the 2014 Plan. The Company reserved an aggregate of 171,008 shares of common stock for issuance under the 2014 Plan. As of December 31, 2022, there were no shares of common stock available for future grants under the 2014 Plan.</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September 17, 2019, the Company’s board of directors and on September 19, 2019, its stockholders approved and adopted the 2019 Incentive Award Plan (2019 Plan). Under the 2019 Plan, the Company may grant stock options, stock appreciation rights, restricted stock, restricted stock units, and other stock and cash-based awards to individuals who are then employees, officers, directors or consultants of the Company, and employees and consultants of the Company’s subsidiaries. A total of 62,000 shares of common stock were approved to be initially reserved for issuance under the 2019 plan. The number of shares under the 2014 Plan subject to outstanding awards as of the effective date of the 2019 Plan that are subsequently canceled, forfeited or repurchased by the Company will be added to the shares reserved under the 2019 Plan. In addition, the number of shares of common stock available for issuance under the 2019 Plan will be automatically increased on the first day of each calendar year during the ten-year term of the 2019 Plan, beginning with January 1, 2020 and ending with January 1, 2029, by the amount equal to 4% of the outstanding number of shares of the Company’s common stock on December 31 of the preceding calendar year or such lesser amount as determined by the Company’s board of directors.</w:t>
      </w:r>
    </w:p>
    <w:p>
      <w:pPr>
        <w:spacing w:after="0" w:line="188"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All stock option grants are non-statutory stock options except option grants to employees (including officers and directors)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(which has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82"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not been less than fair market value on the date of grant) and the vesting periods may vary. Vesting periods are generally four years and are determined by the Board of Directors. Stock options become exercisable as they vest. Options granted under the 2014 Plan and the 2019 Plan expire no more than ten years from the date of grant.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stock option activity under the 2014 Plan and the 2019 Plan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9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20" w:type="dxa"/>
            <w:vAlign w:val="bottom"/>
          </w:tcPr>
          <w:p>
            <w:pPr>
              <w:spacing w:after="0"/>
              <w:rPr>
                <w:sz w:val="13"/>
                <w:szCs w:val="13"/>
                <w:color w:val="auto"/>
              </w:rPr>
            </w:pPr>
          </w:p>
        </w:tc>
        <w:tc>
          <w:tcPr>
            <w:tcW w:w="1160" w:type="dxa"/>
            <w:vAlign w:val="bottom"/>
          </w:tcPr>
          <w:p>
            <w:pPr>
              <w:jc w:val="right"/>
              <w:ind w:right="473"/>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3"/>
                <w:szCs w:val="13"/>
                <w:color w:val="auto"/>
              </w:rPr>
            </w:pPr>
          </w:p>
        </w:tc>
        <w:tc>
          <w:tcPr>
            <w:tcW w:w="84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exercise price (1)</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136,336</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505.50</w:t>
            </w:r>
          </w:p>
        </w:tc>
        <w:tc>
          <w:tcPr>
            <w:tcW w:w="144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8.45</w:t>
            </w:r>
          </w:p>
        </w:tc>
        <w:tc>
          <w:tcPr>
            <w:tcW w:w="3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27,149</w:t>
            </w:r>
          </w:p>
        </w:tc>
        <w:tc>
          <w:tcPr>
            <w:tcW w:w="42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1,638.00</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8.07</w:t>
            </w: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(12,846)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101.00</w:t>
            </w:r>
          </w:p>
        </w:tc>
        <w:tc>
          <w:tcPr>
            <w:tcW w:w="1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(14,038)</w:t>
            </w:r>
          </w:p>
        </w:tc>
        <w:tc>
          <w:tcPr>
            <w:tcW w:w="42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824.00</w:t>
            </w:r>
          </w:p>
        </w:tc>
        <w:tc>
          <w:tcPr>
            <w:tcW w:w="14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136,601</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267.50</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7.76</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89.00</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8.32</w:t>
            </w:r>
          </w:p>
        </w:tc>
        <w:tc>
          <w:tcPr>
            <w:tcW w:w="36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62.00</w:t>
            </w:r>
          </w:p>
        </w:tc>
        <w:tc>
          <w:tcPr>
            <w:tcW w:w="1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(25,983)</w:t>
            </w:r>
          </w:p>
        </w:tc>
        <w:tc>
          <w:tcPr>
            <w:tcW w:w="42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902.00</w:t>
            </w:r>
          </w:p>
        </w:tc>
        <w:tc>
          <w:tcPr>
            <w:tcW w:w="14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114,841</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117.50</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6.69</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December 31, 2022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93"/>
              <w:spacing w:after="0"/>
              <w:rPr>
                <w:sz w:val="20"/>
                <w:szCs w:val="20"/>
                <w:color w:val="auto"/>
              </w:rPr>
            </w:pPr>
            <w:r>
              <w:rPr>
                <w:rFonts w:ascii="Times New Roman" w:cs="Times New Roman" w:eastAsia="Times New Roman" w:hAnsi="Times New Roman"/>
                <w:sz w:val="18"/>
                <w:szCs w:val="18"/>
                <w:color w:val="auto"/>
              </w:rPr>
              <w:t>120.00</w:t>
            </w:r>
          </w:p>
        </w:tc>
        <w:tc>
          <w:tcPr>
            <w:tcW w:w="1440" w:type="dxa"/>
            <w:vAlign w:val="bottom"/>
            <w:vMerge w:val="restart"/>
          </w:tcPr>
          <w:p>
            <w:pPr>
              <w:jc w:val="right"/>
              <w:ind w:right="176"/>
              <w:spacing w:after="0"/>
              <w:rPr>
                <w:sz w:val="20"/>
                <w:szCs w:val="20"/>
                <w:color w:val="auto"/>
              </w:rPr>
            </w:pPr>
            <w:r>
              <w:rPr>
                <w:rFonts w:ascii="Times New Roman" w:cs="Times New Roman" w:eastAsia="Times New Roman" w:hAnsi="Times New Roman"/>
                <w:sz w:val="18"/>
                <w:szCs w:val="18"/>
                <w:color w:val="auto"/>
              </w:rPr>
              <w:t>6.39</w:t>
            </w: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91,590</w:t>
            </w:r>
          </w:p>
        </w:tc>
        <w:tc>
          <w:tcPr>
            <w:tcW w:w="3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unvested as of December 31, 2022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23,251</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106.00</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7.84</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62" w:lineRule="exact"/>
        <w:rPr>
          <w:sz w:val="20"/>
          <w:szCs w:val="20"/>
          <w:color w:val="auto"/>
        </w:rPr>
      </w:pPr>
    </w:p>
    <w:p>
      <w:pPr>
        <w:jc w:val="both"/>
        <w:ind w:left="120" w:right="100" w:hanging="4"/>
        <w:spacing w:after="0" w:line="242" w:lineRule="auto"/>
        <w:tabs>
          <w:tab w:leader="none" w:pos="311" w:val="left"/>
        </w:tabs>
        <w:numPr>
          <w:ilvl w:val="0"/>
          <w:numId w:val="1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On August 17, 2022, the Company’s Board of Directors approved the repricing of all options granted under the 2019 Incentive Award Plan that were held by then current employees, executives, directors, and consultants for which the exercise price per share was greater than the closing price per share of the Company’s common stock on August 17, 2022 (Underwater Options) by reducing the exercise price of each Underwater Option to $107.00, the closing price per share of the Company’s common stock on August 17, 2022. See “Repricing of stock options” section for more information.</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directors were as follows, presented on a weighted average basis:</w:t>
      </w:r>
    </w:p>
    <w:p>
      <w:pPr>
        <w:spacing w:after="0" w:line="18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9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to employees during the years ended December 31, 2022 and 2021 was $79.00 and $1,119.50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total grant date fair value of options vested during the years ended December 31, 2022 and 2021 was $14,219 and $16,304,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82" w:right="4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Repricing of stock options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August 17, 2022, the Board of Directors approved the repricing of each Underwater Option to $107.00, the closing price per share of the Company’s common stock on August 17, 2022. Except for the modification of the exercise price, all other terms and conditions of the Underwater Options remain in effect.</w:t>
      </w:r>
    </w:p>
    <w:p>
      <w:pPr>
        <w:spacing w:after="0" w:line="176"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option repricing resulted in incremental stock-based compensation of $2,505, of which $1,630 was recorded as expense in the year ended December 31, 2022 and $875 will be recognized as expense over the remaining vesting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summary includes restricted stock unit activity within the Company’s 2019 Incentive Award Plan for the year ended December 31,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$477.00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71,533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(11,029)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(10,997)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5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of $19,831 and $21,750 for the years ended December 31, 2022 and 2021 respectively, is included in research and development and general and administrative expenses in the Company’s consolidated statements of operations and comprehensive loss.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total unrecognized stock-based compensation expense relating to unvested stock options and restricted stock units was $19,537 and $39,112, respectively. This amount is expected to be recognized over a weighted-average period of 1.55 years and 2.49 years,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Employee stock purchase plan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September 20, 2019, the Company’s board of directors and stockholders approved and adopted the 2019 Employee Stock Purchase Plan (ESPP) which became effective on the date of the Company’s initial public offering of shares of its common stock. The ESPP permits participants to purchase common stock through payroll deductions of up to 15% of their eligible compensation. The number of shares of common stock available for issuance under the ESPP will be automatically increased on the first day of each calendar year during the first ten years of the term of the ESPP, beginning with January 1, 2020 and ending with January 1, 2029, by an amount equal to 1% of the outstanding number of shares of the Company’s common stock on December 31 of the preceding calendar year or such lesser amount as determined by the Company’s board of directors.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Company’s first offering period of 2021 concluded on June 30, 2021 with the purchase of 141 shares in July 2021 related to this offering period. The Company’s second offering period of 2021 concluded on December 31, 2021 with the purchase of 637 shares in January 2022. The Company’s first offering period of 2022 concluded on June 30, 2022 with the purchase of 895 shares in July 2022 related to this offering period. As of December 31, 2022, a total of 24,511 shares remain for future offering periods. The Company’s second offering period of 2022 concluded on December 31, 2022 with the purchase of 495 shares in January 2023 related to this offering.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82"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Since inception in 2014, the Company has generated cumulative federal and state net operating loss and research and development credit carryforwards for which the Company has not recorded any net tax benefit due to uncertainty around utilizing these tax attributes within the respective carryforward periods.</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of approximately $174,107 and Massachusetts state operating loss carryforwards of approximately $141,318 which may be available to offset future taxable income. The U.S. federal net operating loss carryforwards include $22,399 available to reduce future taxable income through 2037 and approximately $151,708 which do not expire and are available to reduce future taxable income indefinitely. The state net operating loss carryforwards are available to offset future taxable income through 2042. As of December 31, 2022, the Company also had federal and Massachusetts research and development tax credit carryforwards of $8,177 and $3,556, respectively, which are available to offset federal and state tax liabilities through 2042 and 2037, respectively.</w:t>
      </w:r>
    </w:p>
    <w:p>
      <w:pPr>
        <w:spacing w:after="0" w:line="18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Realization of future tax benefits is dependent on many factors, including the Company’s ability to generate taxable income within the net operating loss carryforward period. Net operating loss and tax credit carryforwards may become subject to an annual limitation in the event of certain cumulative changes in the ownership interest of significant shareholders over a three-year period in excess of 50%, as provided under Sections 382 and 383 of the Code, respectively, as well as similar state provisions. These ownership changes may limit the number of carryforwards that can be utilized annually to offset future taxable income. In general, an ownership change, as defined by Section 382 of the Code, results from transactions increasing the ownership of certain shareholders or public groups in the stock of a corporation by more than 50% over a rolling three-year period. The Company has completed several financings and has conducted a study to assess whether a change of control has occurred or whether there have been multiple changes of control since inception and has determined that an ownership change did occur in March 2017. Accordingly, utilization of $12,400 of the U.S. net operating loss carryforwards which were incurred prior to March 2017 (pre-ownership change) is limited under Section 382 of the Code. After the limitations under Section 382 of the Code, the Company may utilize approximately $10,800 of its pre-ownership change net operating loss carryforwards based upon an annual usage of approximately $1,600 for each of the next five years after the ownership change and approximately $180 for each of the 15 years thereafter. The remaining pre-March 2017 ownership change net operating losses of approximately $1,600 were written off due to expiration under limitation. The limitation has been determined by first multiplying the value of our stock at the time of the ownership change by the applicable long-term tax-exempt rate. These carryforwards may be subject to further annual limitations under Section 382 of the Code in the event of future changes in ownership. Additionally, the Company has determined an ownership changed occurred in October of 2019 as a result of the IPO. Accordingly, utilization of approximately $46,123 of the U.S. net operating loss carryforwards incurred prior to October 2019 is also limited under Section 382 of the Code. The Company has determined it will be able to utilize the entire $46,123 of its pre-ownership change net operating loss carryforwards based upon the limitations calculated from the October 2019 ownership change. These carryforwards may be subject to further annual limitations under Section 382 of the Code in the event of future changes in ownership.</w:t>
      </w:r>
    </w:p>
    <w:p>
      <w:pPr>
        <w:spacing w:after="0" w:line="191" w:lineRule="exact"/>
        <w:rPr>
          <w:sz w:val="20"/>
          <w:szCs w:val="20"/>
          <w:color w:val="auto"/>
        </w:rPr>
      </w:pPr>
    </w:p>
    <w:p>
      <w:pPr>
        <w:jc w:val="both"/>
        <w:ind w:left="120" w:right="100"/>
        <w:spacing w:after="0" w:line="277" w:lineRule="auto"/>
        <w:rPr>
          <w:sz w:val="20"/>
          <w:szCs w:val="20"/>
          <w:color w:val="auto"/>
        </w:rPr>
      </w:pPr>
      <w:r>
        <w:rPr>
          <w:rFonts w:ascii="Times New Roman" w:cs="Times New Roman" w:eastAsia="Times New Roman" w:hAnsi="Times New Roman"/>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its deferred tax assets at December 31, 2022 and 2021 because the Company’s management has determined that it is more likely than not that the Company will not recognize the benefits of its federal and state deferred tax assets primarily due to its cumulative loss position and, as a result, a valuation allowance of approximately $77,288 and $50,931 as of December 31, 2022 and 2021 has been established.</w:t>
      </w:r>
    </w:p>
    <w:p>
      <w:pPr>
        <w:spacing w:after="0" w:line="16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no unrecognized tax benefits. The Company has not, as yet, conducted a study of its research and development credit carryforwards. Such a study may result in an adjustment to the Company’s research and development credit carryforwards; however, until a study is completed, and any adjustment is known, no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82"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amounts are being presented as an uncertain tax position. A full valuation allowance has been provided against the Company’s research and development credits and, if an adjustment were required, this adjustment would be offset by an adjustment to the valuation allowance. Thus, there would be no impact to the consolidated balance sheet or consolidated statements of operations if an adjustment were required. The Company has elected to recognize interest and penalties related to income tax matters as a component of income tax expense, of which no interest or penalties were recorded for the years ended December 31, 2022 and 2021.</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and Massachusetts. The statute of limitations for assessment by the Internal Revenue Service and Massachusetts tax authorities remains open for all years since 2014. To the extent the Company has tax attribute carryforwards, the tax years in which the attribute was generated may still be adjusted upon examination by the Internal Revenue Service or state authorities to the extent utilized in a future period. No federal or state tax audits are currently in process.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Company’s pre-tax loss for the years ended December 31, 2022 and 2021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$(81,586)</w:t>
            </w:r>
          </w:p>
        </w:tc>
        <w:tc>
          <w:tcPr>
            <w:tcW w:w="3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$(84,624)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(81,582)</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(84,671)</w:t>
            </w:r>
          </w:p>
        </w:tc>
        <w:tc>
          <w:tcPr>
            <w:tcW w:w="0" w:type="dxa"/>
            <w:vAlign w:val="bottom"/>
          </w:tcPr>
          <w:p>
            <w:pPr>
              <w:spacing w:after="0"/>
              <w:rPr>
                <w:sz w:val="1"/>
                <w:szCs w:val="1"/>
                <w:color w:val="auto"/>
              </w:rPr>
            </w:pPr>
          </w:p>
        </w:tc>
      </w:tr>
      <w:tr>
        <w:trPr>
          <w:trHeight w:val="4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provision at December 31, 2022 and 2021 consist of the following:</w:t>
            </w: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4"/>
                <w:szCs w:val="24"/>
                <w:color w:val="auto"/>
              </w:rPr>
            </w:pPr>
          </w:p>
        </w:tc>
        <w:tc>
          <w:tcPr>
            <w:tcW w:w="70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4"/>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$ 15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72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deferred</w:t>
            </w:r>
          </w:p>
        </w:tc>
        <w:tc>
          <w:tcPr>
            <w:tcW w:w="660" w:type="dxa"/>
            <w:vAlign w:val="bottom"/>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4"/>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$ 15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for the years ended December 31, 2022 and 2021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8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9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rate changes</w:t>
            </w:r>
          </w:p>
        </w:tc>
        <w:tc>
          <w:tcPr>
            <w:tcW w:w="39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deductions</w:t>
            </w:r>
          </w:p>
        </w:tc>
        <w:tc>
          <w:tcPr>
            <w:tcW w:w="3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0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(32.3)</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37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372"/>
        </w:trPr>
        <w:tc>
          <w:tcPr>
            <w:tcW w:w="37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F-41</w:t>
            </w:r>
          </w:p>
        </w:tc>
        <w:tc>
          <w:tcPr>
            <w:tcW w:w="4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deferred tax assets at December 31, 2022 and 2021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45,512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36,590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7,269</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58,379</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(77,288)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(50,931)</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(7,448)</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Research and license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an exclusive patent license agreement (MIT License Agreement), with the Massachusetts Institute of Technology (MIT), under which the Company received an exclusive, worldwide, royalty-bearing license to certain patent rights to develop, make, have made, use, sell, offer to sell, lease and import products (Licensed Products) and to develop and perform processes (Licensed Processes) which incorporate the licensed technology for the treatment of disease, including but not limited to the prevention and remediation of hearing loss. The Company also has the right to grant sublicenses of its rights under the MIT License Agreement.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is required to use diligent efforts to develop and commercialize the Licensed Products or Processes, and to make such products or processes reasonably available to the public and to spend certain minimum amounts on research and development of Licensed Products and/or Processes each year until the first commercial sale of a Licensed Product and/or a first commercial performance of a Licensed Process. The Company is also subject to certain development obligations with regards to a first Licensed Product. The Company has satisfied certain obligations related to preclinical studies and the filing of an IND for a first Licensed Product with its development activities related to FX-322. The Company’s future development obligations are: (i) to commence a Phase 3 clinical trial for such Product within five years of the IND filing for such product, (ii) to file a New Drug Application or equivalent with the FDA or comparable European regulatory agency for such Product within nine years of the IND filing for such Product, and (iii) to make a first commercial sale of such Product within 11 years of the IND filing for such Product. The Company also has certain development obligations for a second Licensed Product. In the event that the Company has failed to fulfill the development timeline obligation with respect to a second Licensed Product and fails to cure such breach within ninety (90) days of written notice by MIT, MIT may restrict the licensed field to the prevention and remediation of hearing loss in humans and animals. The Company does not have the right to control prosecution of the in-licensed patent applications, and its rights to enforce the in-licensed patents are subject to certain limitations.</w:t>
      </w:r>
    </w:p>
    <w:p>
      <w:pPr>
        <w:spacing w:after="0" w:line="19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Upon entering into the MIT License Agreement, the Company paid a $50 license fee payment and issued to MIT shares of our common stock equal to 5% of total then-outstanding capital stock. The Company is required to pay certain annual license maintenance fees which may be credited to running royalties during the same calendar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82"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year, if any, and to make potential milestone payments up to $2,900 on each Licensed Product or Licensed Process. In addition, the Company is required to pay a low single-digit royalty on Licensed Products and Licensed Processes and a low-twenties royalty on sublicense revenues.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MIT License Agreement will remain in effect until the expiration or abandonment of all issued patents and filed patent applications licensed thereunder remain in effect, unless terminated earlier. The Company has the right to terminate for any reason upon a 3-month prior written notice. MIT shall have the right to terminate if the Company ceases to carry on any business related to the MIT License Agreement. MIT may terminate the MIT License Agreement for the Company’s material breach uncured within ninety (90) days (or thirty (30) days in the case of nonpayment). MIT may also terminate the MIT License Agreement if the Company or our affiliates commence any action against MIT to declare or render any claim of the licensed patent rights invalid, unpatentable, unenforceable, or non-infringed (a patent challenge), or if our sublicensee commences such actions and the Company does not terminate such sublicense within thirty (30) days after MIT’s demand. MIT has the right to increase all payments due, instead of terminating the MIT License Agreement in the case of a patent challenge.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May 2019, the Company entered into an amendment with MIT, updating the diligence milestones for a second Licensed Product.</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March 2022, the Company entered into an amendment with MIT, removing a patent and certain patent applications from the MIT License Agreement which were unrelated to the Company’s hearing and MS programs and which were not being utilized by the Company.</w:t>
      </w:r>
    </w:p>
    <w:p>
      <w:pPr>
        <w:spacing w:after="0" w:line="162"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The patents in-licensed by the Company from MIT pursuant to the MIT License claim inventions created by, among others, Dr. Langer, one of the Company’s directors. Pursuant to MIT’s policy on the ownership, distribution and commercial development of MIT technology, or the MIT Policy, inventors of intellectual property invented at MIT, including the inventors of patents licensed to the Company under the MIT License, are entitled to a portion of the net royalty income derived by MIT from such inventions, but not amounts received by MIT from the sale of common stock previously issued by the Company to MIT pursuant to the MIT License. Accordingly, pursuant to the MIT Policy, Dr. Langer is entitled to receive a portion of the amounts the Company pays to MIT under the MIT License, including the Astellas Royalty Payment and future milestone payments or royalties, if any, that the Company may receive pursuant to the Astellas Agreement. Accordingly, Dr. Langer has received $11 and $6 from MIT under the MIT Policy during the years ended December 31, 2022 and 2021, respectively. Refer to Note 18,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for all related party disclosures.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 (California Institute for Biomedical Research)</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September 2018, the Company entered into a license agreement (CALIBR License Agreement) with the California Institute for Biomedical Research (CALIBR) under which the Company received an exclusive, worldwide, royalty-bearing license to certain patent rights to make, have made, use, sell, offer to sell, and import products (CALIBR Licensed Products) which incorporate the licensed technology for the treatment of multiple sclerosis. The Company also have the right to grant sublicenses of our rights under the CALIBR License Agreement. CALIBR reserves the right to use for itself and the right to grant non-exclusive licenses to other nonprofit or academic institutions, for any internal research and educational purposes.</w:t>
      </w:r>
    </w:p>
    <w:p>
      <w:pPr>
        <w:spacing w:after="0" w:line="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Company is required to use commercially reasonable efforts to develop, manufacture, and sell at least one CALIBR Licensed Product. The Company is also subject to certain milestone timeline obligations, which may be extended in certain circumstances as set forth in the CALIBR License Agreement. In October 2021, the Company entered into an amendment with CALIBR which updated the milestone obligations to: (i) initiate a Phase 2 clinical trial (or equivalent) for a CALIBR Licensed Product by December 31, 2023 and (ii) initiate a Phase 3 clinical trial (or equivalent) for a CALIBR Licensed Product by December 31, 2025. The Company does not have the right to control prosecution of the in-licensed patent applications, and the Company’s rights to enforce the in-licensed patents are subject to certain limitations.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82"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Upon entering into the CALIBR License Agreement, the Company made a $1,000 license fee payment and is required to make milestone payments up to $26,000 for each Category of CALIBR Licensed Products (Category 1 is any CALIBR Licensed Products containing a compound that modulates any muscarinic receptor and Category 2 is any CALIBR Licensed Products not included in Category 1 that could differentiate oligodendrocyte precursor cells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and/or are active in animal models relevant to MS). The Company is also required to pay a middle single-digit royalty on CALIBR Licensed Products and a royalty on sublicense revenues ranging from low-teen percentage to 50%.</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CALIBR License Agreement shall continue in effect until expiration of all Company obligations to pay royalties. Royalties shall be payable on a country-by-country and CALIBR Licensed Product-by-CALIBR Licensed Product basis upon the later of (1) the expiration or abandonment of all valid claims of the licensed patent rights in such country and (2) ten years from the first commercial sale of each CALIBR Licensed Product. The Company may terminate the CALIBR License Agreement at will upon a 30-day prior written notice. The Company may also elect to terminate its license to one or more licensed patents in any or all jurisdictions by giving ninety (90) days’ prior written notice to CALIBR. CALIBR may terminate the CALIBR License Agreement for material breach uncured within thirty (30) days. CALIBR has the right to terminate or reduce the license to a non-exclusive license if the Company fails to use diligent efforts to develop and commercially exploit CALIBR Licensed Products.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Eye and Ear (Formerly Massachusetts Eye and Ear Infirmary)</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an Non-Exclusive Patent License Agreement (MEE License Agreement) with the Massachusetts Eye and Ear (MEE) under which it received a non-exclusive, non-sublicensable, worldwide, royalty-bearing license to certain patent rights to develop, make, have made, use, sell, offer to sell, lease and import products and to develop and perform processes which incorporate the licensed technology for the treatment or prevention of hearing loss (MEE licensed products).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is obligated to use diligent efforts to develop and commercialize the MEE licensed products. The Company met one of its milestone timeline obligations by dosing a first subject in a Phase 2 trial by December 31, 2020. The Company is still subject to a milestone timeline obligation to dose a first subject in a Phase 3 trial by December 31, 2024. The Company does not control the filing, prosecution, enforcement, and defense of any licensed patent rights.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Upon entering the MEE License, the Company made a $20 license fee payment. The Company is obligated to pay certain annual license maintenance fees between $5 and $7.5 per each MEE patent family case number included in the licensed MEE patent rights prior to first commercial sale of an MEE licensed product. The Company is also obligated to pay a minimum annual royalty payment of $15 per each MEE patent family case number included in the licensed MEE patent rights after first commercial sale of an MEE licensed product. The Company is also obligated to make milestone payments up to $350 on each product or process that incorporates the licensed patent rights. In addition, the Company has agreed to pay a low single-digit royalty on products and processes that incorporate the licensed patent rights.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MEE License Agreement shall remain in effect until all issued patents and filed patent applications within the licensed patent rights have expired or been abandoned, unless terminated earlier. The Company has the right to terminate the MEE License Agreement at will by giving thirty (30) business days advance written notice to MEE. MEE has the right to terminate the MEE License Agreement if the Company fails to make any payment due within thirty (30) business days after MEE notifies the Company of such failure. MEE shall have the right to terminate if the Company fails to maintain the required insurance. MEE shall also have the right to terminate the MEE License Agreement upon forty-five (45) business days written notice if the Company becomes insolvent. MEE has the right to terminate for any other default not cured within sixty (60) business days written notice. MEE also has the right to terminate if the Company or its affiliates challenge the validity of the licensed patent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82"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Collaboration agreement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License and Collaboration Agreement with Astellas (Astellas Agreement), under which the Company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(Astellas Licensed Products), including the product candidate FX-322, outside of the United States. The Company also granted Astellas a right of first negotiation and a right of last refusal if it entered into any negotiation or agreement of any kind (other than an acquisition of all of the stock or assets of the Company) with any third party under which such third party would obtain the right to develop, manufacture, or commercialize Astellas Licensed Products in the United States.</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These parties have agreed to use commercially reasonable efforts to carry out development activities assigned to it under an agreed-upon development plan. Astellas has agreed to use commercially reasonable efforts to obtain regulatory approval for at least one Astellas Licensed Product in sensorineural hearing loss and in age-related hearing loss, in each case, in one major Asian country and one major European country. The Company has agreed to use commercially reasonable efforts to obtain regulatory approval for at least one Astellas Licensed Product in the United States. Astellas has the sole right to commercialize the Astellas Licensed Products outside of the United States, and the Company has the sole right to commercialize the Astellas Licensed Products in the United States. Astellas has agreed to use commercially reasonable efforts to commercialize Astellas Licensed Products in a major Asian country and a major European country following receipt of regulatory approval in such countries.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collaboration is governed by a joint steering committee (JSC) established under the Astellas Agreement and shall be comprised of three representatives each from the Company and Astellas. The JSC shall oversee and coordinate the overall conduct of the development, manufacture and commercialization of the Astellas Licensed Products. All decisions of JSC shall be taken through a unanimous vote with each party’s representatives collectively having one vote. Both the parties shall be responsible for carrying out the development and manufacturing activities in their defined territory in accordance with the plan as reviewed and approved in the JSC.</w:t>
      </w:r>
    </w:p>
    <w:p>
      <w:pPr>
        <w:spacing w:after="0" w:line="18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As consideration for the licensed rights under the Astellas Agreement, Astellas paid the Company an upfront payment of $80,000 in July 2019 and has agreed to pay potential development milestone payments up to $230,000 and commercialization milestones of up to $315,000. Specifically, the Company would receive development milestone payments of $65,000 and $25,000 upon the first dosing of a subject in a Phase 2b clinical trial for SNHL in Europe and Asia, respectively and $100,000 and $40,000 upon the first dosing of a subject in a Phase 3 clinical trial for SNHL in Europe and Asia, respectively. If the Astellas Licensed Products are successfully commercialized, the Company would be eligible for up to $315,000 in potential commercial milestone payments and also tiered royalties at rates ranging from low- to mid-teen percentages. The parties shall share equally, on a 50/50 basis, all out-of-pocket costs and joint study costs for all the joint activities conducted pursuant to the development plans or the joint manufacturing plan.</w:t>
      </w:r>
    </w:p>
    <w:p>
      <w:pPr>
        <w:spacing w:after="0" w:line="192"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Astellas Agreement remains in effect until the expiration of all royalty obligations. Royalties are paid on a licensed product-by-licensed product and country-by-country basis until the latest of (i) the expiration of the last valid claim in the licensed patent rights with respect to such Astellas Licensed Product in such country or (ii) a set number of years from the first commercial sale of such Astellas Licensed Product in such country. Astellas may terminate the Astellas Agreement at will upon 60 days’ written notice. Each party has the right to terminate the Astellas Agreement due to the other party’s material breach if such breach remains uncured for 90 days (or 45 days in the case of nonpayment) or if the other party becomes bankrupt.</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82" w:right="4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Astellas Agreement is a collaborative agreement that is within the scope of ASC 808. The Company analyzed the joint research and development activities to assess whether they fall within the scope of ASC 808, and will reassess this throughout the life of the arrangement based on changes in the roles and responsibilities of the parties. Based on the terms of the arrangement as outlined above, both parties are deemed to be active participants in the collaboration. Both parties are performing research and development activities in their defined territory and will be performing joint clinical studies in accordance with the development plan and the study protocol approved by the JSC. Additionally, Astellas and the Company are exposed to significant risks and rewards dependent on the commercial success of any product candidates that may result from the collaboration. As such, the collaboration arrangement is deemed to be within the scope of ASC 808.</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arrangement consists of two components; the license of IP and the research and development activities, including committee participation, to support the co-development and research plan. Under the provisions of ASC 808, the Company has determined that it will apply the guidance in ASC 606 to recognize the revenue related to the license since that component of the arrangement is more reflective of a vendor-customer relationship. The Company determined that the license and the related research and development services associated with the Phase 2a clinical study were not distinct from one another, as the license has limited value to Astellas without the performance of the research and development activities and the Phase 2a study is essential to the use of the license. As such, the Company determined that these activities should be accounted for as a single combined performance obligation.</w:t>
      </w:r>
    </w:p>
    <w:p>
      <w:pPr>
        <w:spacing w:after="0" w:line="189"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Revenue associated with this single performance obligation was recognized as the research and development work was performed, using an input method on the basis of research and development costs incurred to date relative to total research and development costs expected to be incurred. The transfer of control occurred over this time period and, in management’s judgment, was the best measure of progress towards satisfying the performance obligation. The Company determined that the period of performance of the research and development services began upon the signing of the Astellas Agreement and continued until the completion of the Phase 2a clinical trial of FX-322 (FX-322-202). The transaction price of $80,000 was allocated to the single combined performance obligation and recorded as deferred revenue in July 2019 when it was received. This upfront payment was recognized as revenue over the period from July 2019 until June 30, 2021, the completion date of the Phase 2a clinical trial (FX-322-202), using the input method.</w:t>
      </w:r>
    </w:p>
    <w:p>
      <w:pPr>
        <w:spacing w:after="0" w:line="17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potential development and regulatory milestone payments are fully constrained until the Company can conclude that achievement of the milestone is probable and that it is probable that recognition of revenue related to the milestone will not result in a significant reversal in the amount of cumulative revenue recognized when the uncertainty associated with the variable consideration is ultimately resolved and as such these have been excluded from the transaction price. As part of its evaluation of the constraint, the Company considers numerous factors, including the fact that achievement of the milestones is outside the control of the Company and contingent upon the future success of clinical trials, the licensee’s efforts, and the receipt of regulatory approval. Any consideration related to sales-based milestones (including royalties) will be recognized when the related sales occur as these amounts have been determined to relate predominantly to the license granted to Astellas and therefore are recognized at the later of when the performance obligation is satisfied, or the related sales of licensed products occur. The Company re-evaluates the transaction price, including its estimated variable consideration included in the transaction price and all constrained amounts, at each reporting period and as uncertain events are resolved or other changes in circumstances occur, and, if necessary, adjusts its estimate of the overall transaction price. Any such adjustments are recorded on a cumulative catch-up basis, which would affect revenues and earnings in the period of adjustment.</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Astellas Agreement contains joint research and development activities that are not within the scope of ASC 606. The Company will recognize research and development expense related to the joint study costs for all the joint activities in future periods and reimbursements received from Astellas will be recognized as an offset to research and development expense on the consolidated statements of operations during the development period. In the year ended December 31, 2022 and 2021, the Company invoiced Astellas $392 and $885 for joint costs.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82"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11, 2020, the Company entered into an Agreement for Termination of Lease and Voluntary Surrender of Premises (Lease Termination Agreement) with ARE-MA Region No. 20, LLC (Landlord) for the Company’s office and laboratory space in Woburn, Massachusetts. The Lease Termination Agreement provides that the Lease Agreement, dated as of August 14, 2016, by and between the Company and Landlord (as the same may have been amended, the Lease) will terminate on March 31, 2021, unless the Company elects to extend the term of the Lease. The Company exercised the option to extend the lease until May 31, 2021.</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January 7, 2020 the Company entered into an indenture of lease (Lexington Lease) with HCP/KING 75 Hayden LLC, for the lease of approximately 61,307 square feet of rentable area in Lexington, Massachusetts or (Lexington Premises). The Lexington Lease commenced on December 11, 2020. In the second quarter of 2021, the Company began using the Lexington Premises as its principal executive offices and laboratory for research and development. The term of the Lexington Lease is expected to end on May 31, 2031. The Company also has the option to extend the Initial Term for two additional terms of five years each.</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rent expense for the years ended December 31, 2022 and 2021 was $4,802 and $4,960, respectively.</w:t>
      </w:r>
    </w:p>
    <w:p>
      <w:pPr>
        <w:sectPr>
          <w:pgSz w:w="11900" w:h="16838" w:orient="portrait"/>
          <w:cols w:equalWidth="0" w:num="1">
            <w:col w:w="11100"/>
          </w:cols>
          <w:pgMar w:left="320" w:top="482" w:right="479" w:bottom="1440" w:gutter="0" w:footer="0" w:header="0"/>
        </w:sectPr>
      </w:pPr>
    </w:p>
    <w:p>
      <w:pPr>
        <w:spacing w:after="0" w:line="38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45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Weighted-average remaining operating lease term</w:t>
      </w:r>
    </w:p>
    <w:p>
      <w:pPr>
        <w:spacing w:after="0" w:line="1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8.4 years</w:t>
      </w:r>
    </w:p>
    <w:p>
      <w:pPr>
        <w:spacing w:after="0" w:line="7"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8.5%</w:t>
      </w:r>
    </w:p>
    <w:p>
      <w:pPr>
        <w:spacing w:after="0" w:line="200" w:lineRule="exact"/>
        <w:rPr>
          <w:sz w:val="20"/>
          <w:szCs w:val="20"/>
          <w:color w:val="auto"/>
        </w:rPr>
      </w:pPr>
    </w:p>
    <w:p>
      <w:pPr>
        <w:sectPr>
          <w:pgSz w:w="11900" w:h="16838" w:orient="portrait"/>
          <w:cols w:equalWidth="0" w:num="2">
            <w:col w:w="7600" w:space="720"/>
            <w:col w:w="2780"/>
          </w:cols>
          <w:pgMar w:left="320" w:top="482" w:right="479" w:bottom="1440" w:gutter="0" w:footer="0" w:header="0"/>
          <w:type w:val="continuous"/>
        </w:sectPr>
      </w:pPr>
    </w:p>
    <w:p>
      <w:pPr>
        <w:spacing w:after="0" w:line="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to the operating lease liability recorded on the consolidated balance sheet as of December 31, 2022.</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4,402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4,670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4,810</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40,219</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4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(11,437)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1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14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4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aggregate minimum payments under the noncancelable operating lease as of December 31, 2022 are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4,273</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4,402</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4,534</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4,670</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and beyond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22,340</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Sublease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July 8, 2022, the Company entered into a Sublease Agreement with SalioGen Therapeutics, Inc. (SalioGen) to sublease approximately 30,040 rentable square feet of the Company’s office space in Lexington, MA for a two-year term. The base sublease rent per month for the first and second year of the sublease is $197 and $203,</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82" w:right="479" w:bottom="1440" w:gutter="0" w:footer="0" w:header="0"/>
          <w:type w:val="continuous"/>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respectively. In addition to base rent, SalioGen will pay 49% of operating costs and taxes payable under the Company’s lease for the Lexington, MA office space.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Since commencement, the Company has accounted for the Lexington, MA office space as an operating lease. In accordance with ASC 842, the Company concluded the sublease is also an operating lease. The Company recognized sublease income of $1,186 for the year ended December 31, 2022. The below table shows the expected future sublease income as of December 31, 2022.</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Sublease Income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2,371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sublease income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commitments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CMOs, universities, and other third parties for preclinical research studies, clinical trials and testing and manufacturing services. These contracts generally do not contain minimum purchase commitments and are cancelable by us upon prior written notice although, purchase orders for clinical materials are generally non-cancelable. Payments due upon cancellation consist only of payments for services provided or expenses incurred, including non-cancelable obligations of our service providers, up to the date of cancellation or upon the completion of a manufacturing run.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Company has identified the guarantees described below as disclosable, 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80"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The Company leases office space in Lexington, Massachusetts under a ten-year noncancelable lease. The $1,699 security deposit for this lease is classified as restricted cash as of December 31, 2022. The Company exited the Woburn, Massachusetts facility in the second quarter of 2021. The Company has standard indemnification arrangements under these leases that require it to indemnify the landlord against all costs, expenses, fines, suits, claims, demands, liabilities, and actions directly resulting from any breach, violation, or nonperformance of any covenant or condition of the lease.</w:t>
      </w:r>
    </w:p>
    <w:p>
      <w:pPr>
        <w:spacing w:after="0" w:line="16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82"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86"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 xml:space="preserve">On June 3, 2021 and June 22, 2021, purported stockholders of the Company filed putative class action lawsuits in the U.S. District Court for the District of Massachusetts against the Company and the Company’s Chief Executive Officer, President, and Director, David Lucchino. On March 21, 2022, the two lawsuits were consolidated into a single lawsuit, </w:t>
      </w:r>
      <w:r>
        <w:rPr>
          <w:rFonts w:ascii="Times New Roman" w:cs="Times New Roman" w:eastAsia="Times New Roman" w:hAnsi="Times New Roman"/>
          <w:sz w:val="17"/>
          <w:szCs w:val="17"/>
          <w:i w:val="1"/>
          <w:iCs w:val="1"/>
          <w:color w:val="auto"/>
        </w:rPr>
        <w:t>Quinones et al. v. Frequency Therapeutics, Inc. et al</w:t>
      </w:r>
      <w:r>
        <w:rPr>
          <w:rFonts w:ascii="Times New Roman" w:cs="Times New Roman" w:eastAsia="Times New Roman" w:hAnsi="Times New Roman"/>
          <w:sz w:val="17"/>
          <w:szCs w:val="17"/>
          <w:color w:val="auto"/>
        </w:rPr>
        <w:t>. and on May 16, 2022, the Company’s Chief Development Officer, Dr. Carl LeBel, was added as a defendant. The plaintiffs allege violations of Sections 10(b), 20(a) and Rule 10b5 of the Securities Exchange Act of 1934, as amended (the Exchange Act), due to allegedly false and misleading statements and omissions about the Company’s Phase 2a clinical trial (FX-322-202) for its product candidate FX-322 in the Company’s public disclosures between October 29, 2020 and March 22, 2021. The lawsuit seeks, among other things, damages in connection with the Company’s allegedly artificially inflated stock price between October 29, 2020 and March 22, 2021 as a result of those allegedly false and misleading statements and omissions, as well as interest, attorneys’ fees and costs. The Company intends to vigorously defend against all claims asserted in the lawsuit. The Company filed a motion to dismiss the Amended Complaint on July 15, 2022. This matter is at the very early stages of the legal process, and as a result, the Company is not able to estimate a range of possible loss. Since an estimate of the possible loss or range of loss cannot be made at this time, no accruals have been recorded as of December 31, 2022.</w:t>
      </w:r>
    </w:p>
    <w:p>
      <w:pPr>
        <w:spacing w:after="0" w:line="18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 xml:space="preserve">On June 21, 2022, the Delaware Chancery Court dismissed a lawsuit brought by two purported stockholders against the Company and others. For previously reported information on this lawsuit, refer to Part I, Item 3, “Legal Proceedings” of the Company’s 2021 Form 10-K. On August 16, 2022, these same two purported stockholders of the Company filed a similar lawsuit in Delaware Superior Court against (i) the Company, (ii) Computershare Inc., and (iii) Computershare Trust Company, N.A., entitled </w:t>
      </w:r>
      <w:r>
        <w:rPr>
          <w:rFonts w:ascii="Times New Roman" w:cs="Times New Roman" w:eastAsia="Times New Roman" w:hAnsi="Times New Roman"/>
          <w:sz w:val="18"/>
          <w:szCs w:val="18"/>
          <w:i w:val="1"/>
          <w:iCs w:val="1"/>
          <w:color w:val="auto"/>
        </w:rPr>
        <w:t>The Gregory J. Parseghian Revocable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Frequency Therapeutics, Inc., et al.</w:t>
      </w:r>
      <w:r>
        <w:rPr>
          <w:rFonts w:ascii="Times New Roman" w:cs="Times New Roman" w:eastAsia="Times New Roman" w:hAnsi="Times New Roman"/>
          <w:sz w:val="18"/>
          <w:szCs w:val="18"/>
          <w:color w:val="auto"/>
        </w:rPr>
        <w:t xml:space="preserve"> The lawsuit alleges causes of action against the Company for breach of the statutory duty of care, negligence, conversion, and unjust enrichment, based on allegations that actions were taken to prevent the purported stockholders from selling their shares in the Company. The Company intends to vigorously defend against all claims asserted in the lawsuit. This matter is at the very early stages of the legal process, and as a result, the Company is not able to estimate a range of possible loss. Since an estimate of the possible loss or range of loss cannot be made at this time, no accruals have been recorded as of December 31, 2022.</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30, 2022, a purported stockholder of the Company filed a shareholder derivative complaint in the U.S. District Court for the District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Delaware purportedly on the Company’s behalf against members of the Company’s board of directors and the Company as a nominal defendant, entitled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 xml:space="preserve">Dewey v. Cohen et. al. </w:t>
      </w:r>
      <w:r>
        <w:rPr>
          <w:rFonts w:ascii="Times New Roman" w:cs="Times New Roman" w:eastAsia="Times New Roman" w:hAnsi="Times New Roman"/>
          <w:sz w:val="17"/>
          <w:szCs w:val="17"/>
          <w:color w:val="auto"/>
        </w:rPr>
        <w:t>The complaint alleges (i) violations of Section 10(b) and Rule 10b5 of the Exchange Act, (ii) breach of fiduciary duty, (iii) aiding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abetting breach of fiduciary duty, (iv) unjust enrichment, and (v) waste of corporate assets. The claims are based on the same underlying allegations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as the </w:t>
      </w:r>
      <w:r>
        <w:rPr>
          <w:rFonts w:ascii="Times New Roman" w:cs="Times New Roman" w:eastAsia="Times New Roman" w:hAnsi="Times New Roman"/>
          <w:sz w:val="18"/>
          <w:szCs w:val="18"/>
          <w:i w:val="1"/>
          <w:iCs w:val="1"/>
          <w:color w:val="auto"/>
        </w:rPr>
        <w:t>Quinones</w:t>
      </w:r>
      <w:r>
        <w:rPr>
          <w:rFonts w:ascii="Times New Roman" w:cs="Times New Roman" w:eastAsia="Times New Roman" w:hAnsi="Times New Roman"/>
          <w:sz w:val="18"/>
          <w:szCs w:val="18"/>
          <w:color w:val="auto"/>
        </w:rPr>
        <w:t xml:space="preserve"> case (described above). The complaint seeks, among other things, monetary damages, interest, attorneys’ fees and costs.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September 27, 2022, this lawsuit was stayed pending resolution of the </w:t>
      </w:r>
      <w:r>
        <w:rPr>
          <w:rFonts w:ascii="Times New Roman" w:cs="Times New Roman" w:eastAsia="Times New Roman" w:hAnsi="Times New Roman"/>
          <w:sz w:val="17"/>
          <w:szCs w:val="17"/>
          <w:i w:val="1"/>
          <w:iCs w:val="1"/>
          <w:color w:val="auto"/>
        </w:rPr>
        <w:t>Quinones</w:t>
      </w:r>
      <w:r>
        <w:rPr>
          <w:rFonts w:ascii="Times New Roman" w:cs="Times New Roman" w:eastAsia="Times New Roman" w:hAnsi="Times New Roman"/>
          <w:sz w:val="17"/>
          <w:szCs w:val="17"/>
          <w:color w:val="auto"/>
        </w:rPr>
        <w:t xml:space="preserve"> case. This matter is at the very early stages of the legal process, and as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 the Company is not able to estimate a range of possible loss. The Company’s board members are each party to an indemnification agreement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that may require the Company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82"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to reimburse the board members for certain expenses and other costs related to this lawsuit. Since an estimate of the possible loss or range of loss cannot be made at this time, no accruals have been recorded as of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Employees of the Company are eligible to participate in the Company’s 401(k) retirement plan (401(k) Plan). Participants may contribute up to 90% of their annual compensation to the 401(k) Plan, subject to statutory limitations. Under the 401(k) Plan Safe Harbor Match, the Company matches 100% of the first 5% of employee contributions and vests 100% at time of match. For the years ended December 31, 2022 and 2021, the Company made matching contributions of $550 and $723,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3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As disclosed in Note 12, “</w:t>
      </w:r>
      <w:r>
        <w:rPr>
          <w:rFonts w:ascii="Times New Roman" w:cs="Times New Roman" w:eastAsia="Times New Roman" w:hAnsi="Times New Roman"/>
          <w:sz w:val="18"/>
          <w:szCs w:val="18"/>
          <w:i w:val="1"/>
          <w:iCs w:val="1"/>
          <w:color w:val="auto"/>
        </w:rPr>
        <w:t>Research and license agreements</w:t>
      </w:r>
      <w:r>
        <w:rPr>
          <w:rFonts w:ascii="Times New Roman" w:cs="Times New Roman" w:eastAsia="Times New Roman" w:hAnsi="Times New Roman"/>
          <w:sz w:val="18"/>
          <w:szCs w:val="18"/>
          <w:color w:val="auto"/>
        </w:rPr>
        <w:t>”, the Company entered into the MIT License Agreement in December 2016. The patents in-licensed by the Company from MIT pursuant to the MIT License Agreement claim inventions created by, among others, Dr. Langer, one of the Company’s directors. Accordingly, Dr. Langer has received $11 and $6 from MIT under the MIT Policy during the years ended December 31, 2022 and 2021, respectively.</w:t>
      </w:r>
    </w:p>
    <w:p>
      <w:pPr>
        <w:spacing w:after="0" w:line="187"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The Company’s lease for its Woburn, Massachusetts facility, terminated in May 2021 as disclosed in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was with an entity affiliated with one of the Company’s directors and shareholders.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Company has evaluated subsequent events for recognition, remeasurement and disclosure purposes. The identified subsequent events are as follows:</w:t>
      </w:r>
    </w:p>
    <w:p>
      <w:pPr>
        <w:spacing w:after="0" w:line="264" w:lineRule="exact"/>
        <w:rPr>
          <w:sz w:val="20"/>
          <w:szCs w:val="20"/>
          <w:color w:val="auto"/>
        </w:rPr>
      </w:pPr>
    </w:p>
    <w:p>
      <w:pPr>
        <w:ind w:left="540" w:right="80" w:hanging="424"/>
        <w:spacing w:after="0" w:line="266"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2023, the Company announced a restructuring in which its hearing program was discontinued. As a result, the Company reduced its workforce by approximately 55% to better align with the needs of its business. The total personnel costs related to the restructuring are estimated to be approximately $4,000 in future cash outlays primarily related to severance costs and related expenses.</w:t>
      </w:r>
    </w:p>
    <w:p>
      <w:pPr>
        <w:spacing w:after="0" w:line="202"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2023, the Company effected a reverse stock split of its common stock at a ratio of 1-for-50 (the “Reverse Split”). Upon the effectiveness of the Reverse Split, (i) every 50 shares of outstanding common stock were reclassified and combined into one share of common stock, and (ii) the number of shares of common stock for which each outstanding option to purchase common stock is exercisable was proportionally decreased and the exercise price of each outstanding option to purchase common stock proportionally increased. No fractional shares were issued as a result of the Reverse Split. Accordingly, all share and per share amounts for all periods presented in these financial statements and notes thereto have been adjusted retroactively, where applicable, to reflect the Reverse Split and adjustment of the exercise price of each outstanding option as if the transaction had occurred as of the beginning of the earliest period presented.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82" w:right="45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07"/>
        </w:trPr>
        <w:tc>
          <w:tcPr>
            <w:tcW w:w="90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Korro Bio, Inc.</w:t>
            </w:r>
          </w:p>
        </w:tc>
        <w:tc>
          <w:tcPr>
            <w:tcW w:w="200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4"/>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Condensed Consolidated Financial Statements</w:t>
            </w:r>
          </w:p>
        </w:tc>
        <w:tc>
          <w:tcPr>
            <w:tcW w:w="200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20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3"/>
              </w:rPr>
              <w:t>F-52</w:t>
            </w:r>
          </w:p>
        </w:tc>
      </w:tr>
      <w:tr>
        <w:trPr>
          <w:trHeight w:val="20"/>
        </w:trPr>
        <w:tc>
          <w:tcPr>
            <w:tcW w:w="12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3440" w:type="dxa"/>
            <w:vAlign w:val="bottom"/>
            <w:gridSpan w:val="2"/>
          </w:tcPr>
          <w:p>
            <w:pPr>
              <w:spacing w:after="0"/>
              <w:rPr>
                <w:sz w:val="17"/>
                <w:szCs w:val="17"/>
                <w:color w:val="auto"/>
              </w:rPr>
            </w:pP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F-53</w:t>
            </w:r>
          </w:p>
        </w:tc>
      </w:tr>
      <w:tr>
        <w:trPr>
          <w:trHeight w:val="196"/>
        </w:trPr>
        <w:tc>
          <w:tcPr>
            <w:tcW w:w="120" w:type="dxa"/>
            <w:vAlign w:val="bottom"/>
          </w:tcPr>
          <w:p>
            <w:pPr>
              <w:spacing w:after="0"/>
              <w:rPr>
                <w:sz w:val="17"/>
                <w:szCs w:val="17"/>
                <w:color w:val="auto"/>
              </w:rPr>
            </w:pPr>
          </w:p>
        </w:tc>
        <w:tc>
          <w:tcPr>
            <w:tcW w:w="6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Convertible Preferred Stock and Stockholders’ Deficit</w:t>
            </w:r>
          </w:p>
        </w:tc>
        <w:tc>
          <w:tcPr>
            <w:tcW w:w="2180" w:type="dxa"/>
            <w:vAlign w:val="bottom"/>
          </w:tcPr>
          <w:p>
            <w:pPr>
              <w:spacing w:after="0"/>
              <w:rPr>
                <w:sz w:val="17"/>
                <w:szCs w:val="17"/>
                <w:color w:val="auto"/>
              </w:rPr>
            </w:pP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F-54</w:t>
            </w:r>
          </w:p>
        </w:tc>
      </w:tr>
      <w:tr>
        <w:trPr>
          <w:trHeight w:val="196"/>
        </w:trPr>
        <w:tc>
          <w:tcPr>
            <w:tcW w:w="120" w:type="dxa"/>
            <w:vAlign w:val="bottom"/>
          </w:tcPr>
          <w:p>
            <w:pPr>
              <w:spacing w:after="0"/>
              <w:rPr>
                <w:sz w:val="17"/>
                <w:szCs w:val="17"/>
                <w:color w:val="auto"/>
              </w:rPr>
            </w:pPr>
          </w:p>
        </w:tc>
        <w:tc>
          <w:tcPr>
            <w:tcW w:w="8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F-55</w:t>
            </w:r>
          </w:p>
        </w:tc>
      </w:tr>
      <w:tr>
        <w:trPr>
          <w:trHeight w:val="20"/>
        </w:trPr>
        <w:tc>
          <w:tcPr>
            <w:tcW w:w="12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F-56</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98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color w:val="auto"/>
                <w:w w:val="99"/>
              </w:rPr>
              <w:t>F-51</w:t>
            </w:r>
          </w:p>
        </w:tc>
        <w:tc>
          <w:tcPr>
            <w:tcW w:w="2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46,119</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3,026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49,145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12,892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Advance payments for property and equipment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26,425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95,831</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2,836</w:t>
            </w:r>
          </w:p>
        </w:tc>
        <w:tc>
          <w:tcPr>
            <w:tcW w:w="26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5,711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9,539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39,767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Seed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13,781 shares authorized, issued and outstanding at September 30, 2023 and December 31, 2022 (aggregate liquidation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preference of $16,115 at September 30, 2023 and December 31,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40,848 shares authorized, issued and outstanding at September 30, 2023 and December 31, 2022 (aggregate liquidation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preference of $91,500 at September 30, 2023 and December 31,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77,736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B-1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22,222 shares authorized, issued and outstanding at September 30, 2023 and December 31, 2022 (aggregate liquidation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preference of $58,000 at September 30, 2023 and December 31,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57,703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B-2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20,863 shares authorized at September 30, 2023 and December 31, 2022; 20,863 and 4,496 shares issued and outstanding</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at September 30, 2023 and December 31, 2022, respectively (aggregate liquidation preference of $58,000 and $12,500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at September 30, 2023 and December 31, 2022,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 $0.001 par value; 117,138 and 115,838 shares authorized at September 30, 2023 and December 31, 2022,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respectively; 6,006 and 5,462 shares issued at September 30, 2023 and December 31, 2022, respectively; 6,002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5,404 shares outstanding at September 30, 2023 and December 31, 2022,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4,315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(157,579)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(101,833)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(99,031)</w:t>
            </w:r>
          </w:p>
        </w:tc>
        <w:tc>
          <w:tcPr>
            <w:tcW w:w="0" w:type="dxa"/>
            <w:vAlign w:val="bottom"/>
          </w:tcPr>
          <w:p>
            <w:pPr>
              <w:spacing w:after="0"/>
              <w:rPr>
                <w:sz w:val="1"/>
                <w:szCs w:val="1"/>
                <w:color w:val="auto"/>
              </w:rPr>
            </w:pPr>
          </w:p>
        </w:tc>
      </w:tr>
      <w:tr>
        <w:trPr>
          <w:trHeight w:val="207"/>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95,831</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82"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41,828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30,052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15,813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12,485</w:t>
            </w:r>
          </w:p>
        </w:tc>
        <w:tc>
          <w:tcPr>
            <w:tcW w:w="0" w:type="dxa"/>
            <w:vAlign w:val="bottom"/>
          </w:tcPr>
          <w:p>
            <w:pPr>
              <w:spacing w:after="0"/>
              <w:rPr>
                <w:sz w:val="1"/>
                <w:szCs w:val="1"/>
                <w:color w:val="auto"/>
              </w:rPr>
            </w:pPr>
          </w:p>
        </w:tc>
      </w:tr>
      <w:tr>
        <w:trPr>
          <w:trHeight w:val="230"/>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(57,641)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(42,537)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(55,746)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(41,998)</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(55,746)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(41,998)</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7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82"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8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060" w:type="dxa"/>
            <w:vAlign w:val="bottom"/>
            <w:gridSpan w:val="7"/>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Series Seed</w:t>
            </w:r>
          </w:p>
        </w:tc>
        <w:tc>
          <w:tcPr>
            <w:tcW w:w="80" w:type="dxa"/>
            <w:vAlign w:val="bottom"/>
            <w:vMerge w:val="restart"/>
          </w:tcPr>
          <w:p>
            <w:pPr>
              <w:spacing w:after="0"/>
              <w:rPr>
                <w:sz w:val="3"/>
                <w:szCs w:val="3"/>
                <w:color w:val="auto"/>
              </w:rPr>
            </w:pPr>
          </w:p>
        </w:tc>
        <w:tc>
          <w:tcPr>
            <w:tcW w:w="108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0" w:type="dxa"/>
            <w:vAlign w:val="bottom"/>
            <w:vMerge w:val="restart"/>
          </w:tcPr>
          <w:p>
            <w:pPr>
              <w:spacing w:after="0"/>
              <w:rPr>
                <w:sz w:val="3"/>
                <w:szCs w:val="3"/>
                <w:color w:val="auto"/>
              </w:rPr>
            </w:pPr>
          </w:p>
        </w:tc>
        <w:tc>
          <w:tcPr>
            <w:tcW w:w="1060" w:type="dxa"/>
            <w:vAlign w:val="bottom"/>
            <w:gridSpan w:val="7"/>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80" w:type="dxa"/>
            <w:vAlign w:val="bottom"/>
            <w:vMerge w:val="restart"/>
          </w:tcPr>
          <w:p>
            <w:pPr>
              <w:spacing w:after="0"/>
              <w:rPr>
                <w:sz w:val="3"/>
                <w:szCs w:val="3"/>
                <w:color w:val="auto"/>
              </w:rPr>
            </w:pPr>
          </w:p>
        </w:tc>
        <w:tc>
          <w:tcPr>
            <w:tcW w:w="11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18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80" w:type="dxa"/>
            <w:vAlign w:val="bottom"/>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7"/>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1"/>
                <w:szCs w:val="11"/>
                <w:color w:val="auto"/>
              </w:rPr>
            </w:pPr>
          </w:p>
        </w:tc>
        <w:tc>
          <w:tcPr>
            <w:tcW w:w="1080" w:type="dxa"/>
            <w:vAlign w:val="bottom"/>
            <w:gridSpan w:val="7"/>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060" w:type="dxa"/>
            <w:vAlign w:val="bottom"/>
            <w:gridSpan w:val="7"/>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1"/>
                <w:szCs w:val="11"/>
                <w:color w:val="auto"/>
              </w:rPr>
            </w:pPr>
          </w:p>
        </w:tc>
        <w:tc>
          <w:tcPr>
            <w:tcW w:w="1140" w:type="dxa"/>
            <w:vAlign w:val="bottom"/>
            <w:gridSpan w:val="4"/>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3"/>
                <w:szCs w:val="13"/>
                <w:color w:val="auto"/>
              </w:rPr>
            </w:pPr>
          </w:p>
        </w:tc>
        <w:tc>
          <w:tcPr>
            <w:tcW w:w="108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3"/>
                <w:szCs w:val="13"/>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3"/>
                <w:szCs w:val="13"/>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9"/>
        </w:trPr>
        <w:tc>
          <w:tcPr>
            <w:tcW w:w="18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bottom w:val="single" w:sz="8" w:color="CCEEFF"/>
            </w:tcBorders>
            <w:gridSpan w:val="2"/>
          </w:tcPr>
          <w:p>
            <w:pPr>
              <w:spacing w:after="0"/>
              <w:rPr>
                <w:sz w:val="11"/>
                <w:szCs w:val="11"/>
                <w:color w:val="auto"/>
              </w:rPr>
            </w:pPr>
          </w:p>
        </w:tc>
        <w:tc>
          <w:tcPr>
            <w:tcW w:w="4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CCEEFF"/>
            </w:tcBorders>
            <w:gridSpan w:val="2"/>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87"/>
              </w:rPr>
              <w:t>Amount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7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8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13,781</w:t>
            </w:r>
          </w:p>
        </w:tc>
        <w:tc>
          <w:tcPr>
            <w:tcW w:w="4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3"/>
              </w:rPr>
              <w:t>$ 15,924</w:t>
            </w:r>
          </w:p>
        </w:tc>
        <w:tc>
          <w:tcPr>
            <w:tcW w:w="2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40,848</w:t>
            </w:r>
          </w:p>
        </w:tc>
        <w:tc>
          <w:tcPr>
            <w:tcW w:w="58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7"/>
              </w:rPr>
              <w:t>$ 77,736</w:t>
            </w:r>
          </w:p>
        </w:tc>
        <w:tc>
          <w:tcPr>
            <w:tcW w:w="4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22,222</w:t>
            </w:r>
          </w:p>
        </w:tc>
        <w:tc>
          <w:tcPr>
            <w:tcW w:w="2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7"/>
              </w:rPr>
              <w:t>$ 57,703</w:t>
            </w:r>
          </w:p>
        </w:tc>
        <w:tc>
          <w:tcPr>
            <w:tcW w:w="2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780" w:type="dxa"/>
            <w:vAlign w:val="bottom"/>
            <w:tcBorders>
              <w:left w:val="single" w:sz="8" w:color="CCEEFF"/>
            </w:tcBorders>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$ 12,500</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5,404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5"/>
                <w:szCs w:val="5"/>
                <w:color w:val="auto"/>
                <w:w w:val="78"/>
              </w:rPr>
              <w:t>5</w:t>
            </w:r>
          </w:p>
        </w:tc>
        <w:tc>
          <w:tcPr>
            <w:tcW w:w="200" w:type="dxa"/>
            <w:vAlign w:val="bottom"/>
            <w:tcBorders>
              <w:lef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2,802</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(101,833)</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(99,031)</w:t>
            </w: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780" w:type="dxa"/>
            <w:vAlign w:val="bottom"/>
            <w:tcBorders>
              <w:left w:val="single" w:sz="8" w:color="CCEEFF"/>
            </w:tcBorders>
            <w:gridSpan w:val="3"/>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200" w:type="dxa"/>
            <w:vAlign w:val="bottom"/>
            <w:tcBorders>
              <w:left w:val="single" w:sz="8" w:color="CCEEFF"/>
            </w:tcBorders>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80" w:type="dxa"/>
            <w:vAlign w:val="bottom"/>
          </w:tcPr>
          <w:p>
            <w:pPr>
              <w:spacing w:after="0"/>
              <w:rPr>
                <w:sz w:val="12"/>
                <w:szCs w:val="12"/>
                <w:color w:val="auto"/>
              </w:rPr>
            </w:pPr>
          </w:p>
        </w:tc>
        <w:tc>
          <w:tcPr>
            <w:tcW w:w="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16,367</w:t>
            </w: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45,458</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issuance costs of $42</w:t>
            </w:r>
          </w:p>
        </w:tc>
        <w:tc>
          <w:tcPr>
            <w:tcW w:w="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rendered</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stock options</w:t>
            </w:r>
          </w:p>
        </w:tc>
        <w:tc>
          <w:tcPr>
            <w:tcW w:w="80" w:type="dxa"/>
            <w:vAlign w:val="bottom"/>
          </w:tcPr>
          <w:p>
            <w:pPr>
              <w:spacing w:after="0"/>
              <w:rPr>
                <w:sz w:val="12"/>
                <w:szCs w:val="12"/>
                <w:color w:val="auto"/>
              </w:rPr>
            </w:pPr>
          </w:p>
        </w:tc>
        <w:tc>
          <w:tcPr>
            <w:tcW w:w="4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60" w:type="dxa"/>
            <w:vAlign w:val="bottom"/>
          </w:tcPr>
          <w:p>
            <w:pPr>
              <w:spacing w:after="0"/>
              <w:rPr>
                <w:sz w:val="12"/>
                <w:szCs w:val="12"/>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5"/>
                <w:szCs w:val="5"/>
                <w:color w:val="auto"/>
                <w:w w:val="78"/>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0"/>
                <w:szCs w:val="10"/>
                <w:color w:val="auto"/>
              </w:rPr>
            </w:pPr>
          </w:p>
        </w:tc>
        <w:tc>
          <w:tcPr>
            <w:tcW w:w="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1,148</w:t>
            </w:r>
          </w:p>
        </w:tc>
        <w:tc>
          <w:tcPr>
            <w:tcW w:w="18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29"/>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(55,746)</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(55,746)</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8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13,781</w:t>
            </w:r>
          </w:p>
        </w:tc>
        <w:tc>
          <w:tcPr>
            <w:tcW w:w="4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 xml:space="preserve"> 15,924</w:t>
            </w:r>
          </w:p>
        </w:tc>
        <w:tc>
          <w:tcPr>
            <w:tcW w:w="20" w:type="dxa"/>
            <w:vAlign w:val="bottom"/>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40,848</w:t>
            </w:r>
          </w:p>
        </w:tc>
        <w:tc>
          <w:tcPr>
            <w:tcW w:w="58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77,736</w:t>
            </w:r>
          </w:p>
        </w:tc>
        <w:tc>
          <w:tcPr>
            <w:tcW w:w="4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22,222</w:t>
            </w:r>
          </w:p>
        </w:tc>
        <w:tc>
          <w:tcPr>
            <w:tcW w:w="2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57,703</w:t>
            </w:r>
          </w:p>
        </w:tc>
        <w:tc>
          <w:tcPr>
            <w:tcW w:w="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20,863</w:t>
            </w:r>
          </w:p>
        </w:tc>
        <w:tc>
          <w:tcPr>
            <w:tcW w:w="780" w:type="dxa"/>
            <w:vAlign w:val="bottom"/>
            <w:tcBorders>
              <w:left w:val="single" w:sz="8" w:color="CCEEFF"/>
            </w:tcBorders>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57,958</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6,002</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5"/>
                <w:szCs w:val="5"/>
                <w:b w:val="1"/>
                <w:bCs w:val="1"/>
                <w:color w:val="auto"/>
                <w:w w:val="78"/>
              </w:rPr>
              <w:t>7</w:t>
            </w:r>
          </w:p>
        </w:tc>
        <w:tc>
          <w:tcPr>
            <w:tcW w:w="200" w:type="dxa"/>
            <w:vAlign w:val="bottom"/>
            <w:tcBorders>
              <w:lef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4,315</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(157,579)</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(153,257)</w:t>
            </w: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780" w:type="dxa"/>
            <w:vAlign w:val="bottom"/>
            <w:tcBorders>
              <w:left w:val="single" w:sz="8" w:color="CCEEFF"/>
            </w:tcBorders>
            <w:gridSpan w:val="3"/>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200" w:type="dxa"/>
            <w:vAlign w:val="bottom"/>
            <w:tcBorders>
              <w:left w:val="single" w:sz="8" w:color="CCEEFF"/>
            </w:tcBorders>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8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top w:val="single" w:sz="8" w:color="auto"/>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Series Seed</w:t>
            </w:r>
          </w:p>
        </w:tc>
        <w:tc>
          <w:tcPr>
            <w:tcW w:w="80" w:type="dxa"/>
            <w:vAlign w:val="bottom"/>
          </w:tcPr>
          <w:p>
            <w:pPr>
              <w:spacing w:after="0"/>
              <w:rPr>
                <w:sz w:val="18"/>
                <w:szCs w:val="18"/>
                <w:color w:val="auto"/>
              </w:rPr>
            </w:pPr>
          </w:p>
        </w:tc>
        <w:tc>
          <w:tcPr>
            <w:tcW w:w="108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0" w:type="dxa"/>
            <w:vAlign w:val="bottom"/>
          </w:tcPr>
          <w:p>
            <w:pPr>
              <w:spacing w:after="0"/>
              <w:rPr>
                <w:sz w:val="18"/>
                <w:szCs w:val="18"/>
                <w:color w:val="auto"/>
              </w:rPr>
            </w:pPr>
          </w:p>
        </w:tc>
        <w:tc>
          <w:tcPr>
            <w:tcW w:w="10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Series B-1</w:t>
            </w:r>
          </w:p>
        </w:tc>
        <w:tc>
          <w:tcPr>
            <w:tcW w:w="80" w:type="dxa"/>
            <w:vAlign w:val="bottom"/>
          </w:tcPr>
          <w:p>
            <w:pPr>
              <w:spacing w:after="0"/>
              <w:rPr>
                <w:sz w:val="18"/>
                <w:szCs w:val="18"/>
                <w:color w:val="auto"/>
              </w:rPr>
            </w:pPr>
          </w:p>
        </w:tc>
        <w:tc>
          <w:tcPr>
            <w:tcW w:w="11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7"/>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080" w:type="dxa"/>
            <w:vAlign w:val="bottom"/>
            <w:gridSpan w:val="7"/>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060" w:type="dxa"/>
            <w:vAlign w:val="bottom"/>
            <w:gridSpan w:val="7"/>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140" w:type="dxa"/>
            <w:vAlign w:val="bottom"/>
            <w:gridSpan w:val="4"/>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80" w:type="dxa"/>
            <w:vAlign w:val="bottom"/>
          </w:tcPr>
          <w:p>
            <w:pPr>
              <w:spacing w:after="0"/>
              <w:rPr>
                <w:sz w:val="13"/>
                <w:szCs w:val="13"/>
                <w:color w:val="auto"/>
              </w:rPr>
            </w:pPr>
          </w:p>
        </w:tc>
        <w:tc>
          <w:tcPr>
            <w:tcW w:w="108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3"/>
                <w:szCs w:val="13"/>
                <w:color w:val="auto"/>
              </w:rPr>
            </w:pPr>
          </w:p>
        </w:tc>
        <w:tc>
          <w:tcPr>
            <w:tcW w:w="1060" w:type="dxa"/>
            <w:vAlign w:val="bottom"/>
            <w:gridSpan w:val="7"/>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3"/>
                <w:szCs w:val="13"/>
                <w:color w:val="auto"/>
              </w:rPr>
            </w:pP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85"/>
              </w:rPr>
              <w:t>Shares</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87"/>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1"/>
                <w:szCs w:val="11"/>
                <w:color w:val="auto"/>
              </w:rPr>
            </w:pPr>
          </w:p>
        </w:tc>
        <w:tc>
          <w:tcPr>
            <w:tcW w:w="84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0"/>
        </w:trPr>
        <w:tc>
          <w:tcPr>
            <w:tcW w:w="182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20" w:type="dxa"/>
            <w:vAlign w:val="bottom"/>
            <w:vMerge w:val="continue"/>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9"/>
                <w:szCs w:val="9"/>
                <w:color w:val="auto"/>
              </w:rPr>
            </w:pP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13,781</w:t>
            </w:r>
          </w:p>
        </w:tc>
        <w:tc>
          <w:tcPr>
            <w:tcW w:w="40" w:type="dxa"/>
            <w:vAlign w:val="bottom"/>
            <w:shd w:val="clear" w:color="auto" w:fill="CCEEFF"/>
          </w:tcPr>
          <w:p>
            <w:pPr>
              <w:spacing w:after="0"/>
              <w:rPr>
                <w:sz w:val="9"/>
                <w:szCs w:val="9"/>
                <w:color w:val="auto"/>
              </w:rPr>
            </w:pPr>
          </w:p>
        </w:tc>
        <w:tc>
          <w:tcPr>
            <w:tcW w:w="58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$ 15,924</w:t>
            </w: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40,848</w:t>
            </w:r>
          </w:p>
        </w:tc>
        <w:tc>
          <w:tcPr>
            <w:tcW w:w="62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$ 77,736</w:t>
            </w:r>
          </w:p>
        </w:tc>
        <w:tc>
          <w:tcPr>
            <w:tcW w:w="54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22,222</w:t>
            </w:r>
          </w:p>
        </w:tc>
        <w:tc>
          <w:tcPr>
            <w:tcW w:w="60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$ 57,703</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780" w:type="dxa"/>
            <w:vAlign w:val="bottom"/>
            <w:tcBorders>
              <w:left w:val="single" w:sz="8" w:color="CCEEFF"/>
            </w:tcBorders>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$ 12,500</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4,788</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5"/>
                <w:szCs w:val="5"/>
                <w:color w:val="auto"/>
                <w:w w:val="78"/>
              </w:rPr>
              <w:t>5</w:t>
            </w:r>
          </w:p>
        </w:tc>
        <w:tc>
          <w:tcPr>
            <w:tcW w:w="200" w:type="dxa"/>
            <w:vAlign w:val="bottom"/>
            <w:tcBorders>
              <w:lef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1,595</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(43,801)</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(42,208)</w:t>
            </w: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620" w:type="dxa"/>
            <w:vAlign w:val="bottom"/>
            <w:gridSpan w:val="5"/>
            <w:vMerge w:val="continue"/>
            <w:shd w:val="clear" w:color="auto" w:fill="CCEEFF"/>
          </w:tcPr>
          <w:p>
            <w:pPr>
              <w:spacing w:after="0"/>
              <w:rPr>
                <w:sz w:val="15"/>
                <w:szCs w:val="15"/>
                <w:color w:val="auto"/>
              </w:rPr>
            </w:pPr>
          </w:p>
        </w:tc>
        <w:tc>
          <w:tcPr>
            <w:tcW w:w="540" w:type="dxa"/>
            <w:vAlign w:val="bottom"/>
            <w:gridSpan w:val="4"/>
            <w:vMerge w:val="continue"/>
            <w:shd w:val="clear" w:color="auto" w:fill="CCEEFF"/>
          </w:tcPr>
          <w:p>
            <w:pPr>
              <w:spacing w:after="0"/>
              <w:rPr>
                <w:sz w:val="15"/>
                <w:szCs w:val="15"/>
                <w:color w:val="auto"/>
              </w:rPr>
            </w:pPr>
          </w:p>
        </w:tc>
        <w:tc>
          <w:tcPr>
            <w:tcW w:w="600" w:type="dxa"/>
            <w:vAlign w:val="bottom"/>
            <w:gridSpan w:val="4"/>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780" w:type="dxa"/>
            <w:vAlign w:val="bottom"/>
            <w:tcBorders>
              <w:left w:val="single" w:sz="8" w:color="CCEEFF"/>
            </w:tcBorders>
            <w:gridSpan w:val="3"/>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200" w:type="dxa"/>
            <w:vAlign w:val="bottom"/>
            <w:tcBorders>
              <w:left w:val="single" w:sz="8" w:color="CCEEFF"/>
            </w:tcBorders>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stock options</w:t>
            </w:r>
          </w:p>
        </w:tc>
        <w:tc>
          <w:tcPr>
            <w:tcW w:w="80" w:type="dxa"/>
            <w:vAlign w:val="bottom"/>
          </w:tcPr>
          <w:p>
            <w:pPr>
              <w:spacing w:after="0"/>
              <w:rPr>
                <w:sz w:val="12"/>
                <w:szCs w:val="12"/>
                <w:color w:val="auto"/>
              </w:rPr>
            </w:pPr>
          </w:p>
        </w:tc>
        <w:tc>
          <w:tcPr>
            <w:tcW w:w="4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rendered</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80" w:type="dxa"/>
            <w:vAlign w:val="bottom"/>
          </w:tcPr>
          <w:p>
            <w:pPr>
              <w:spacing w:after="0"/>
              <w:rPr>
                <w:sz w:val="10"/>
                <w:szCs w:val="10"/>
                <w:color w:val="auto"/>
              </w:rPr>
            </w:pPr>
          </w:p>
        </w:tc>
        <w:tc>
          <w:tcPr>
            <w:tcW w:w="4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894</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Pr>
          <w:p>
            <w:pPr>
              <w:spacing w:after="0"/>
              <w:rPr>
                <w:sz w:val="12"/>
                <w:szCs w:val="12"/>
                <w:color w:val="auto"/>
              </w:rPr>
            </w:pPr>
          </w:p>
        </w:tc>
        <w:tc>
          <w:tcPr>
            <w:tcW w:w="4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(41,998)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(41,998)</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820" w:type="dxa"/>
            <w:vAlign w:val="bottom"/>
            <w:vMerge w:val="continue"/>
          </w:tcPr>
          <w:p>
            <w:pPr>
              <w:spacing w:after="0"/>
              <w:rPr>
                <w:sz w:val="11"/>
                <w:szCs w:val="11"/>
                <w:color w:val="auto"/>
              </w:rPr>
            </w:pPr>
          </w:p>
        </w:tc>
        <w:tc>
          <w:tcPr>
            <w:tcW w:w="80" w:type="dxa"/>
            <w:vAlign w:val="bottom"/>
            <w:vMerge w:val="restart"/>
          </w:tcPr>
          <w:p>
            <w:pPr>
              <w:spacing w:after="0"/>
              <w:rPr>
                <w:sz w:val="11"/>
                <w:szCs w:val="11"/>
                <w:color w:val="auto"/>
              </w:rPr>
            </w:pP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13,781</w:t>
            </w:r>
          </w:p>
        </w:tc>
        <w:tc>
          <w:tcPr>
            <w:tcW w:w="40" w:type="dxa"/>
            <w:vAlign w:val="bottom"/>
          </w:tcPr>
          <w:p>
            <w:pPr>
              <w:spacing w:after="0"/>
              <w:rPr>
                <w:sz w:val="11"/>
                <w:szCs w:val="11"/>
                <w:color w:val="auto"/>
              </w:rPr>
            </w:pPr>
          </w:p>
        </w:tc>
        <w:tc>
          <w:tcPr>
            <w:tcW w:w="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15,924</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40,848</w:t>
            </w:r>
          </w:p>
        </w:tc>
        <w:tc>
          <w:tcPr>
            <w:tcW w:w="6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77,736</w:t>
            </w:r>
          </w:p>
        </w:tc>
        <w:tc>
          <w:tcPr>
            <w:tcW w:w="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22,222</w:t>
            </w:r>
          </w:p>
        </w:tc>
        <w:tc>
          <w:tcPr>
            <w:tcW w:w="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57,703</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4,496</w:t>
            </w: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12,500</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5,323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ind w:left="220"/>
              <w:spacing w:after="0"/>
              <w:rPr>
                <w:sz w:val="20"/>
                <w:szCs w:val="20"/>
                <w:color w:val="auto"/>
              </w:rPr>
            </w:pPr>
            <w:r>
              <w:rPr>
                <w:rFonts w:ascii="Times New Roman" w:cs="Times New Roman" w:eastAsia="Times New Roman" w:hAnsi="Times New Roman"/>
                <w:sz w:val="5"/>
                <w:szCs w:val="5"/>
                <w:b w:val="1"/>
                <w:bCs w:val="1"/>
                <w:color w:val="auto"/>
                <w:w w:val="78"/>
              </w:rPr>
              <w:t>5</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2,554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(85,799)</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(83,250)</w:t>
            </w:r>
          </w:p>
        </w:tc>
        <w:tc>
          <w:tcPr>
            <w:tcW w:w="0" w:type="dxa"/>
            <w:vAlign w:val="bottom"/>
          </w:tcPr>
          <w:p>
            <w:pPr>
              <w:spacing w:after="0"/>
              <w:rPr>
                <w:sz w:val="1"/>
                <w:szCs w:val="1"/>
                <w:color w:val="auto"/>
              </w:rPr>
            </w:pPr>
          </w:p>
        </w:tc>
      </w:tr>
      <w:tr>
        <w:trPr>
          <w:trHeight w:val="173"/>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620" w:type="dxa"/>
            <w:vAlign w:val="bottom"/>
            <w:gridSpan w:val="5"/>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82"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(55,746)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(41,998)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2,376</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2,645</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(46,176)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(38,612)</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(37,213)</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19,000</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48,985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 not yet received</w:t>
            </w:r>
          </w:p>
        </w:tc>
        <w:tc>
          <w:tcPr>
            <w:tcW w:w="1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Series B-2 convertible preferred stock, net of issuance costs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45,458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9,816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(30,637)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84,044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53,407</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 in 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arising from right-of-use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26,777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 receivables in 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82"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The Company and Liquidity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Korro Bio, Inc. (the “Company”) is an RNA editing company focused on the discovery and development of novel genetic medicines. The Company was incorporated in September 2018 as RNABIO, Inc. and subsequently renamed in November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&amp; Pre-Closing Financing</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July 14, 2023, the Company entered into an Agreement and Plan of Merger (the “Merger Agreement”) with Frequency Therapeutics, Inc., a Delaware corporation (“Frequency”) and Frequency Merger Sub, Inc., a Delaware corporation and wholly owned subsidiary of Frequency (“Merger Sub”). Upon the terms and subject to the satisfaction of the conditions described in the Merger Agreement, Merger Sub will be merged with and into Korro Bio, Inc., with Korro Bio, Inc. surviving as a wholly owned subsidiary of Frequency (the “Merger”). In contemplation of the Merger, the Company also entered into a subscription agreement with certain parties to purchase shares of the Company’s common stock for an aggregate purchase price of approximately $117.3 million (the “Pre-Closing Financing”).</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November 3, 2023 (the “Closing Date”), following approval by the stockholders of the Company and Frequency, the Pre-Closing Financing closed immediately prior to consummation of the Merger.</w:t>
      </w:r>
    </w:p>
    <w:p>
      <w:pPr>
        <w:spacing w:after="0" w:line="162"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immediately prior to the Closing Date, each then outstanding share of the Company’s common stock (including common stock issued upon the conversion of the Company’s preferred stock but excluding the common stock issued in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the Pre-Closing Financing) converted into the right to receive 5,161,114 shares of Frequency’s common stock calculated in accordance with the Merger Agreement.</w:t>
      </w:r>
    </w:p>
    <w:p>
      <w:pPr>
        <w:spacing w:after="0" w:line="181"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The Company’s Pre-Closing Financing was contingent on and occurred prior to the closing of the Merger, subject to customary closing conditions. Shares of the Company’s common stock issued pursuant to the Pre-Closing Financing were converted into the right to receive 2,077,864 shares of Frequency common stock calculated in accordance with Merger Agreement immediately prior to closing.</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Merger will be accounted for as a reverse recapitalization with the Company being the accounting acquirer and Frequency as the acquired company for accounting purposes.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82"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19"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color w:val="auto"/>
        </w:rPr>
        <w:t xml:space="preserve">Pursuant to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Statements—Going Concern</w:t>
      </w:r>
      <w:r>
        <w:rPr>
          <w:rFonts w:ascii="Times New Roman" w:cs="Times New Roman" w:eastAsia="Times New Roman" w:hAnsi="Times New Roman"/>
          <w:sz w:val="18"/>
          <w:szCs w:val="18"/>
          <w:color w:val="auto"/>
        </w:rPr>
        <w:t>, an entity is required to assess whether there are conditions and events, considered in the aggregate, that raise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about an entity’s ability to continue as a going concern within one year after the date that the financial statements are issued.</w:t>
      </w:r>
    </w:p>
    <w:p>
      <w:pPr>
        <w:spacing w:after="0" w:line="17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 of September 30, 2023, the Company had cash, cash equivalents and short-term investments of $46.1 million. On November 3, 2023, the Company issued additional shares of common stock in the Pre-Closing Financing for aggregate proceeds of $117.3 million and the Company received</w:t>
      </w: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$26.9 million from the Merger. The Company expects that its cash and cash equivalents outstanding as of September 30, 2023, together with the proceeds from the sale of shares of common stock issued in the Pre-Closing Financing and the Merger on November 3, 2023, will be sufficient to fund its obligations for at least 12 months from the date of issuance of these condensed consolidated financial statements.</w:t>
      </w:r>
    </w:p>
    <w:p>
      <w:pPr>
        <w:spacing w:after="0" w:line="290" w:lineRule="exact"/>
        <w:rPr>
          <w:sz w:val="20"/>
          <w:szCs w:val="20"/>
          <w:color w:val="auto"/>
        </w:rPr>
      </w:pPr>
    </w:p>
    <w:p>
      <w:pPr>
        <w:ind w:left="120" w:right="54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2.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 and Consolidation</w:t>
      </w: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Korro Bio, Inc. and its wholly-owned subsidiary, Korro Mass Securities, Inc., which was established in December 2020. All intercompany transactions and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for the years ended December 31, 2022 and 2021, included in Exhibit 99.6 of Frequency’s Current Report on Form 8-K of which this Exhibit 99.5 is part. Since the date of those annual financial statements, there have been no changes to the Company’s significant accounting policies, except as noted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2023, and the condensed consolidated statements of operations and comprehensive loss, condensed consolidated statements of convertible preferred stock and stockholders’ deficit and condensed consolidated statements of cash flows for the nine months ended September 30, 2023 and 2022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September 30, 2023 and the results of its operations and its cash flows for the nine months ended September 30, 2023 and 2022. The financial data and other information disclosed in these notes related to the nine months ended September 30, 2023 and 2022 are also unaudited. The results for the nine months ended September 30, 2023 are not necessarily indicative of results to be expected for the full year or for any other subsequent interim period.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(“GAAP”) requires management to make estimates and assumptions that affect the amounts reported in the financial statements and accompanying notes. On an ongoing basis, the Company’s management evaluates its estimates which include, but are not limited to, accrued expenses and stock-based compensation expense. The Company bases its estimates on historical experience and other market specific or other relevant assumptions it believes to be reasonable under the circumstances. Actual results could differ from those estimates.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82" w:right="4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This standard requires that credit losses be reported using an expected losses model rather than the incurred losses model that is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used, and it establishes additional disclosure requirements related to credit risks. For available-for-sale debt securities with expected credit losses, this standard now requires allowances to be recorded instead of reducing the amortized cost of the investment. The Company adopted this new standard effective January 1, 2023, and there was no impact to the condensed consolidated financial statements as a result of the adoption of this guidance.</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money market funds based on quoted prices in active markets for identical securities. Investments also include commercial paper and government securities which are valued either based on recent trades of securities in inactive markets or based on quoted market prices of similar instruments and other significant inputs derived from or corroborated by observable market data. The carrying amounts reflected in the condensed consolidated balance sheets for cash, prepaid expenses and other current assets, accounts payable and accrued expenses approximate their fair values, due to their short-term nature.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September 30, 2023 were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38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8"/>
        </w:trPr>
        <w:tc>
          <w:tcPr>
            <w:tcW w:w="39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Money market funds, included in cash and</w:t>
            </w: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6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43,490</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43,490</w:t>
            </w:r>
          </w:p>
        </w:tc>
        <w:tc>
          <w:tcPr>
            <w:tcW w:w="5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43,490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2"/>
              </w:rPr>
              <w:t>43,490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2022 were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60" w:type="dxa"/>
            <w:vAlign w:val="bottom"/>
          </w:tcPr>
          <w:p>
            <w:pPr>
              <w:spacing w:after="0"/>
              <w:rPr>
                <w:sz w:val="13"/>
                <w:szCs w:val="13"/>
                <w:color w:val="auto"/>
              </w:rPr>
            </w:pPr>
          </w:p>
        </w:tc>
        <w:tc>
          <w:tcPr>
            <w:tcW w:w="188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6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6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8"/>
        </w:trPr>
        <w:tc>
          <w:tcPr>
            <w:tcW w:w="3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3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14,904</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6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6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8"/>
                <w:szCs w:val="18"/>
                <w:color w:val="auto"/>
              </w:rPr>
            </w:pP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33,819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14,904</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as of September 30, 2023 or December 31, 2022.</w:t>
      </w:r>
    </w:p>
    <w:p>
      <w:pPr>
        <w:spacing w:after="0" w:line="225"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There were no changes in valuation techniques, nor were there any transfers among the fair value hierarchy levels during the nine months ended September 30, 2023 or during the year ended December 31,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82"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did not have short-term investments as of September 30,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investments as of December 31, 2022 were comprised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$ 18,915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held no securities that were in an unrealized loss position. As of December 31, 2022, the aggregate fair value of securities that were in an unrealized loss position for less than twelve months was $4.0 million. The Company did not record any charges for credit-related impairments during the nine months ended September 30,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maintained current restricted cash of $1.8 million and non-current restricted cash of $3.4 million. As of December 31, 2022, the Company maintained current restricted cash of $0.6 million and non-current restricted cash of $4.5 million. Such current amounts are included within “Prepaid expenses and other current assets” and such non-current amounts are included within “Other non-current assets” in the condensed consolidated balance sheets. All restricted cash amounts are comprised solely of letters of credit required pursuant to the Company’s facility leases.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of September 30, 2023 and 2022 that sums to the total of the same amounts shown in the condensed consolidated statements of cash flows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$ 46,119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$ 48,113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5,294</w:t>
            </w:r>
          </w:p>
        </w:tc>
      </w:tr>
      <w:tr>
        <w:trPr>
          <w:trHeight w:val="27"/>
        </w:trPr>
        <w:tc>
          <w:tcPr>
            <w:tcW w:w="4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51,293</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$ 53,407</w:t>
            </w:r>
          </w:p>
        </w:tc>
      </w:tr>
      <w:tr>
        <w:trPr>
          <w:trHeight w:val="20"/>
        </w:trPr>
        <w:tc>
          <w:tcPr>
            <w:tcW w:w="4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as of September 30, 2023 and December 31, 2022 were comprised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bonus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services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employee compensation and benefits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Total accrued expenses and other current liabilities</w:t>
            </w:r>
          </w:p>
        </w:tc>
        <w:tc>
          <w:tcPr>
            <w:tcW w:w="1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4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F-59</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82" w:right="6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was authorized to issue 117,138,030 shares of common stock. Holders of common stock are entitled to one vote per share. In addition, holders of common stock are entitled to receive dividends, if and when declared by the Company’s Board of Directors. As of September 30, 2023, no dividends had been declared.</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Company had reserved for future issuance the following number of shares of common stock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Seed Preferred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A Preferred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B-1 Preferred Stock</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B-2 Preferred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20,863</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of Series B-2 Preferred Stock</w:t>
            </w:r>
          </w:p>
        </w:tc>
        <w:tc>
          <w:tcPr>
            <w:tcW w:w="15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common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of outstanding stock options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12,304</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outstanding warrant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under 2019 Stock Incentive Plan</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3,218</w:t>
            </w: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reserved for future issuance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110,432</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Seed 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May 2019, the Company entered into a Series Seed Stock Purchase Agreement (the “Series Seed 1 and 2 Agreement”). Under this Series Seed 1 and 2 Agreement, the Company sold an aggregate of 4,000,000 shares of Series Seed Preferred Stock at a price of $1.00 per share. In addition, the Company was previously party to a Simple Agreement for Future Equity (the “SAFE”) with Atlas Venture Fund XI, L.P. (“Atlas”) whereby the Company received $2.0 million in exchange for granting Atlas the right to participate in a future equity financing. In conjunction with the execution of the Series Seed 1 and 2 Agreement, the SAFE converted into 2,000,000 additional shares of Series Seed Preferred Stock. Subsequently, the Company entered into a Series Seed 3 Preferred Stock Purchase Agreement (the “Series Seed 3 Agreement”) in August 2019 under which it sold 7,780,769 additional shares of Series Seed Preferred Stock at a price of $1.30 per share.</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Under the Series Seed 1 and 2 Agreement and the Series Seed 3 Agreement, the Company received aggregate net cash proceeds of $13.9 million, after deducting offering expenses paid by the Company.</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assessed the terms and features of the Series Seed Preferred Stock and concluded that it should be classified outside of permanent equity in the condensed consolidated balance sheets, as the Series Seed Preferred Stock is contingently redeemable upon the occurrence of a deemed liquidation event that is outside of the Company’s control. Accordingly, the Company has classified the Series Seed Preferred Stock within temporary equity in the condensed consolidated balance sheets. As of September 30, 2023, the Series Seed Preferred Stock is not being accreted to redemption as a deemed liquidation event is not considered to be probable. Further information on the rights, preferences and privileges of the Series Seed Preferred Stock is outlined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82" w:right="4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Series A Preferred Stock Purchase Agreement (the “Series A Agreement”). Under the Series A Agreement, the Company sold 18,191,965 shares at an initial closing in June 2020 and 2,232,143 shares at an additional closing in July 2020, both at a price of $2.24 per share. The Company received aggregate net cash proceeds of $45.5 million from these sales, after deducting offering expenses paid by the Company.</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Series A Agreement also included a right (the “Series A Tranche Right”) whereby investors would be obligated to purchase, and the Company obligated to sell, an additional 20,424,108 shares of Series A Preferred Stock at $2.24 per share upon the achievement of certain research and development milestones prior to December 31, 2021 (the “Series A Milestone Closing”). Investors could also elect to waive the conditions of the Series A Milestone Closing and purchase their allotment of additional shares at any time prior to the Series A Milestone Closing.</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Company assessed the terms and features of the Series A Preferred Stock and concluded that it should be classified outside of permanent equity in the condensed consolidated balance sheets, as the Series A Preferred Stock is contingently redeemable upon the occurrence of a deemed liquidation event that is outside of the Company’s control. Accordingly, the Company has classified the Series A Preferred Stock within temporary equity in the condensed consolidated balance sheets. As of September 30, 2023, the Series A Preferred Stock is not being accreted to redemption as a deemed liquidation event is not considered to be probable. Further information on the rights, preferences and privileges of the Series A Preferred Stock is outlined below.</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assessed the Series A Tranche Right and concluded that it met the definition of a freestanding financial instrument as it was both legally detachable and separately exercisable from the Series A Preferred Stock. In accordance with ASC Topic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Series A Tranche Right was initially classified as a liability in the consolidated balance sheet since the underlying Series A Preferred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contingently redeemable upon the occurrence of a deemed liquidation event that is outside of the Company’s control.</w:t>
      </w:r>
    </w:p>
    <w:p>
      <w:pPr>
        <w:spacing w:after="0" w:line="18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first allocated the Series A Preferred Stock proceeds to the Series A Tranche Right based upon its fair value at the date of issuance, and the remaining proceeds were allocated to the Series A Preferred Stock. The fair value of the Series A Tranche Right on the date of issuance was determined to be $11.1 million. As the Series A Tranche Right was classified as a liability, it was subsequently re-measured at fair value at each reporting period.</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July 2021, the holders of the Series A Preferred Stock elected to waive the conditions of the Series A Milestone Closing and exercise the Series A Tranche Right. Accordingly, the holders purchased 20,424,108 additional shares of Series A Preferred Stock at a price of $2.24 per share. The Company received aggregate net cash proceeds of $45.7 million from this sale, after deducting offering expenses paid by the Company. The Company recognized a $13.5 million gain from the settlement of the Series A Tranche Right and subsequently extinguished the preferred stock tranche asset in conjunction with the issuance of the related Series A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November 2021, the Company entered into the Series B Preferred Stock Purchase Agreement (the “Series B Agreement”). Under the Series B Agreement, the Company initially sold 17,289,273 shares of Series B-1 Preferred Stock at a price of $2.61 per share. The Series B Agreement also contemplated the issuance of Series B-2 Preferred Stock, as outlined further below. The Series B-1 Preferred Stock and the Series B-2 Preferred Stock are collectively referred to as the “Series B Preferred Stock” unless specifically noted.</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Series B Agreement also included a right (the “Series B Tranche Right”) whereby investors would be obligated to purchase, and the Company obligated to sell, 16,232,013 shares of Series B-2 Preferred Stock 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82"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$2.78 per share upon the achievement of a certain research and development milestone (the “Series B Milestone Closing”). Investors could also elect to waive the conditions of the Series B Milestone Closing and purchase their allotment of Series B-2 Preferred Stock at any time prior to the Series B Milestone Closing.</w:t>
      </w:r>
    </w:p>
    <w:p>
      <w:pPr>
        <w:spacing w:after="0" w:line="17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December 2021, the Company subsequently amended the Series B Agreement (the “Series B Agreement Amendment”) to include two additional investors. Under the Series B Agreement Amendment, the Company sold an additional 4,932,950 shares of Series B-1 Preferred Stock at a price of $2.61 per share. Additionally, one investor elected to waive the conditions of the Series B Milestone Closing and purchase 4,496,403 shares of Series B-2 Preferred Stock at a price of $2.78 per share. The other investor included in the Series B Agreement Amendment maintained the Series B Tranche Right to purchase 134,892 shares of Series B-2 Preferred Stock.</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total during November and December 2021, the Company received aggregate net cash proceeds of $57.7 million from the sale of Series B-1 Preferred Stock and $12.5 million from the sale of Series B-2 Preferred Stock, after deducting offering expenses paid by the Company.</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also assessed the Series B Tranche Right and concluded that, while separately exercisable, it was not legally detachable from the Series B Preferred Stock. Accordingly, the Company concluded that the Series B Tranche Right did not meet the definition of a freestanding financial instrument and was instead an embedded feature of the Series B Preferred Stock.</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March 2023, the holders of the Series B Preferred Stock elected to waive the conditions of the Series B Milestone Closing and exercise the Series B Tranche Right. Accordingly, the holders purchased 16,366,905 shares of Series B-2 Preferred Stock at a price of $2.78 per share. The Company received aggregate net cash proceeds of $45.5 million from this sale, after deducting offering expenses paid by the Company.</w:t>
      </w:r>
    </w:p>
    <w:p>
      <w:pPr>
        <w:spacing w:after="0" w:line="17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Company assessed the terms and features of the Series B Preferred Stock and concluded that it should be classified outside of permanent equity in the condensed consolidated balance sheets, as the Series B Preferred Stock is contingently redeemable upon the occurrence of a deemed liquidation event that is outside of the Company’s control. Accordingly, the Company has classified the Series B Preferred Stock within temporary equity in the condensed consolidated balance sheets. As of September 30, 2023, the Series B Preferred Stock is not being accreted to redemption as a deemed liquidation event is not considered to be probable. Further information on the rights, preferences and privileges of the Series B Preferred Stock is outlined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Privileges of Preferred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rights, preferences and privileges of the Series Seed Preferred Stock, the Series A Preferred Stock, the Series B-1 Preferred Stock and the Series B-2 Preferred Stock are as follows. In the discussion below, the Series Seed Preferred Stock and the Series A Preferred Stock, Series B-1 Preferred Stock and the Series B-2 Preferred Stock are collectively referred to as the “Preferred Stock” unless specifically noted.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issuance price by the conversion price in effect at the time of conversion. The original conversion price of the Series Seed 1 Preferred Stock and Series Seed 2 Preferred Stock is $1.00, the original conversion price of the Series Seed 3 Preferred Stock is $1.30, the original conversion price of the Series A Preferred Stock is $2.24, the original conversion price of the Series B-1 Preferred Stock is $2.61 and the original conversion price of the Series B-2 Preferred Stock is $2.78. Shares of preferred stock are subject to adjustments to reflect the issuance of common stock, options, warrants, or other rights to subscribe for or to purchase common stock for a consideration per share, less than the conversion price then in effect and subsequent stock dividends, stock splits, combinations, or recapitalizations.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82"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Preferred Stock is subject to mandatory conversion upon the closing of a sale of common stock to the public at a price of at least $5.56 per share (subject to appropriate adjustment in the event of a stock dividend, stock split, combination or other similar recapitalization) in a firm-commitment underwritten public offering resulting in at least $75.0 million of gross proceeds to the Company. The Preferred Stock is also subject to mandatory conversion upon the vote or written consent of the holders of at least 66% of the then-outstanding shares of Preferred Stock, voting as a single class on an as-converted to common stock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Preferred Stock, in preference to common stockholders, are entitled to receive, when, as and if declared by the Company’s Board of Directors, dividends at a rate of 8% annually. Dividends on Preferred Stock are non-cumulative and are payable only when and if declared by the Company’s Board of Directors. The holders of Preferred Stock are entitled to participate in dividends on common stock on an as-converted basis when and if declared by the Company’s Board of Directors. Since the Company’s inception, no dividends have been declared.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winding up or deemed liquidation event of the Company, the holders of shares of Preferred Stock then outstanding shall be entitled to be paid out of the assets of the Company available for distribution to its stockholders before any payment shall be made to the holders of common stock, an amount equal to the original issue price per share plus any dividends declared but unpaid thereon. For clarity, the original issue price of the Series Seed 1 Preferred Stock and Series Seed 2 Preferred Stock was $1.00 per share, the original issue price of the Series Seed 3 Preferred Stock was $1.30 per share, the original issue price of the Series A Preferred Stock was $2.24 per share, the original issue price of the Series B-1 Preferred Stock was $2.61 per share and the original issue price of the Series B-2 Preferred Stock was $2.78 per share.</w:t>
      </w:r>
    </w:p>
    <w:p>
      <w:pPr>
        <w:spacing w:after="0" w:line="18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If upon any voluntary or involuntary liquidation, dissolution, winding up or deemed liquidation event of the Company, the assets of the Company available for distribution are insufficient to pay the holders of Preferred Stock the full amount to which they are entitled,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Preferred Stock is contingently redeemable upon the occurrence of a deemed liquidation event, which includes a merger or a sale of substantially all of the assets of the Company. As of September 30, 2023, a deemed liquidation event is not considered to be probable.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holders of Preferred Stock are entitled to vote based on the number of common shares that their preferred shares convert into on as-converted basis at the time of such vote. Except in specific circumstances, holders of Preferred Stock shall vote as a single class with the common stockholders.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holders of record of the shares of the Series Seed Preferred Stock, voting exclusively and as a separate class on an as-converted to common stock basis, are entitled to elect two members to the Company’s Board of Directors. The holders of record of the shares of the Series A Preferred Stock, voting exclusively and as a separate class on an as-converted to common stock basis, are entitled to elect two members to the Company’s Board of Directors. The holders of record of the shares of the Series B Preferred Stock, voting exclusively and as a separate class on an as-converted to common stock basis, are entitled to elect two members to the Company’s Board of Directors.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00"/>
          </w:cols>
          <w:pgMar w:left="320" w:top="482" w:right="4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Preferred Stock</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immediately prior to closing of the Merger, each share of Preferred Stock issued and outstanding immediately prior to the Closing of the Merger was converted into shares of the Company’s common stock, and then exchanged in the Merger for shares of Frequency common stock using an exchange ratio of 0.049688. The conversion was approved by greater than 66% of the then-outstanding shares of Preferred Stock, voting as a single class on an as-converted to common stock basis.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January 2019, the Company’s Board of Directors adopted the 2019 Stock Incentive Plan (the “2019 Plan”). The 2019 Plan provides for the grant of stock options, stock awards and restricted stock units to employees, members of the Company’s Board of Directors and non-employee consultants and advisors. The 2019 Plan initially provided for the issuance of up to 2,219,565 shares of common stock. The 2019 Plan was subsequently amended in May 2019, June 2020, October 2020, April 2021, November 2021 and March 2023 to modify the number of shares of common stock issuable under the 2019 Plan. Subsequent to the March 2023 amendment to the 2019 Plan, the Company can now issue up to 15,048,960 shares of common stock under the 2019 Plan. As of September 30, 2023, there were 949,921 shares available for future issuance under the 2019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and comprehensive loss for the nine months ended September 30, 2023 and 2022 was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752</w:t>
            </w:r>
          </w:p>
        </w:tc>
        <w:tc>
          <w:tcPr>
            <w:tcW w:w="6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1,154</w:t>
            </w: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 Activity</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Prior to the adoption of the 2019 Plan, the Company issued shares of restricted common stock to its founders as well as to certain employees. The restrictions on the common stock generally lapse over two to four years. In the event that a recipient ceases to provide service to the Company, the Company has the right to repurchase any unvested shares of restricted common stock at their original purchase price. As a result of this repurchase right, the Company recorded the issuance of such restricted common stock as a liability in the condensed consolidated balance sheets. Amounts are reclassified to common stock at par and additional paid-in capital as the restricted common stock vests and restrictions lapse.</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common stock activity during the nine months ended September 30, 2023 (in thousands, except per share amounts):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40" w:type="dxa"/>
            <w:vAlign w:val="bottom"/>
          </w:tcPr>
          <w:p>
            <w:pPr>
              <w:spacing w:after="0"/>
              <w:rPr>
                <w:sz w:val="13"/>
                <w:szCs w:val="13"/>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8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Repurchased</w:t>
            </w:r>
          </w:p>
        </w:tc>
        <w:tc>
          <w:tcPr>
            <w:tcW w:w="18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1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288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F-64</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common stock that vested during the nine months ended September 30, 2023, based upon the fair value of the underlying restricted common stock on the day of vesting, was less than $0.1 million, and for the nine months ended September 30, 2022 was $0.4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nine months ended September 30, 2023 and 2022 was calculated on the date of grant using the following weighted-average assumptions: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1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4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4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69.5%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r>
    </w:tbl>
    <w:p>
      <w:pPr>
        <w:spacing w:after="0" w:line="17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grant date fair value of stock options granted during the nine months ended September 30, 2023 and 2022 was $0.69 and $0.74 per share, respectively.</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stock option activity during the nine months ended September 30, 2023 (in thousands, except per share amounts):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5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4,050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(533)</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0.66</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(488)</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12,309</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0.84</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0.67</w:t>
            </w:r>
          </w:p>
        </w:tc>
        <w:tc>
          <w:tcPr>
            <w:tcW w:w="15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line="20" w:lineRule="exact"/>
              <w:rPr>
                <w:sz w:val="1"/>
                <w:szCs w:val="1"/>
                <w:color w:val="auto"/>
              </w:rPr>
            </w:pPr>
          </w:p>
        </w:tc>
      </w:tr>
      <w:tr>
        <w:trPr>
          <w:trHeight w:val="215"/>
        </w:trPr>
        <w:tc>
          <w:tcPr>
            <w:tcW w:w="392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4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nine months ended September 30, 2023 and 2022 was $0.2 million and $0.1 million, respectively.</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As of September 30, 2023, there was unrecognized stock-based compensation expense related to unvested stock options of $3.9 million, which the Company expects to recognize over a weighted-average period of approximately 2.7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Genevant Agreement</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In March 2023, the Company entered into a collaboration and license agreement (the “Genevant Agreement”) with Genevant Sciences GmbH (“Genevant”). Key financial terms under the Genevant Agreement are as follows:</w:t>
      </w:r>
    </w:p>
    <w:p>
      <w:pPr>
        <w:spacing w:after="0" w:line="67" w:lineRule="exact"/>
        <w:rPr>
          <w:sz w:val="20"/>
          <w:szCs w:val="20"/>
          <w:color w:val="auto"/>
        </w:rPr>
      </w:pPr>
    </w:p>
    <w:p>
      <w:pPr>
        <w:ind w:left="1080" w:right="32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a $2.5 million payment to Genevant in March 2023 upon execution of the Genevant Agreement and recorded the payment within research and development expense in the condensed consolidated statement of operations for the nine months ended September 30, 2023.</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Genevant for certain out-of-pocket and full-time equivalent costs incurred as a result of research and development activities performed under the Genevant Agreement.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40"/>
          </w:cols>
          <w:pgMar w:left="320" w:top="482" w:right="5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entitled to receive payments from the Company upon the achievement of certain milestones, including potential clinical milestone payments of up to $13.5 million, potential regulatory and development milestone payments of up to $27.0 million, and potential commercial milestone payments up to an aggregate total of $57.0 million.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eligible to receive royalties at percentage rates in the mid-single-digits, based on future annual net sales of licensed products within the scope of the Genevant Agreement.</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As of September 30, 2023, no milestones have been achieved and the Company has recorded reimbursements of $0.8 million within research and development expense in the condensed consolidated statement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Company’s building leases consist of office and laboratory space under non-cancelable leases that have remaining terms from approximately 3 months to 11 years.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party to an operating lease at One Kendall Square, Cambridge, Massachusetts and occupies 22,561 square feet of laboratory and office space (the “OKS Facility”) which expires on December 31, 2023, and an operating sublease agreement at Cummings Park in Woburn, Massachusetts and occupies 18,148 square feet of laboratory and office space (the “Cummings Park Sublease”) which expires on July 31, 2024.</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is party to an operating lease for 50,453 square feet of office and laboratory space at 60 First Street, Cambridge, Massachusetts (the “60 First Street Lease”). In May 2023, the Company obtained control over the space and the Company recognized the operating lease right-of-use asset and the operating lease liability of $26.8 million on the commencement date of the lease. The total rental payments over the 11 year lease are expected to be $62.1 million, including rent credits and other lease incentives per the terms of the lease. Specifically, the 60 First Street Lease provides the Company with a tenant improvement allowance of $13.1 million. The Company utilized $2.1 million of the $13.1 million tenant improvement allowance as of September 30, 2023. The Company has an option to extend the lease for an additional period of five years with the rent during the option period being the then fair market rent.</w:t>
      </w:r>
    </w:p>
    <w:p>
      <w:pPr>
        <w:spacing w:after="0" w:line="18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all leases, net of $11.0 million expected to be received and intended to be used related to the remaining tenant improvement allowance and rent credits associated with the 60 First Street Lease, as of September 30, 2023 were as follows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of 2023</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(8,956)</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6,247</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7,341</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7,557</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65,235</w:t>
            </w:r>
          </w:p>
        </w:tc>
      </w:tr>
      <w:tr>
        <w:trPr>
          <w:trHeight w:val="223"/>
        </w:trPr>
        <w:tc>
          <w:tcPr>
            <w:tcW w:w="20" w:type="dxa"/>
            <w:vAlign w:val="bottom"/>
          </w:tcPr>
          <w:p>
            <w:pPr>
              <w:spacing w:after="0"/>
              <w:rPr>
                <w:sz w:val="19"/>
                <w:szCs w:val="19"/>
                <w:color w:val="auto"/>
              </w:rPr>
            </w:pPr>
          </w:p>
        </w:tc>
        <w:tc>
          <w:tcPr>
            <w:tcW w:w="5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interest</w:t>
            </w: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(34,015)</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of September 30, 2023, the weighted average remaining lease term was 10.4 years and the weighted average incremental borrowing rate used to determine the operating lease liability was 11.1%.</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combines the lease and non-lease components of fixed costs in its lease arrangements as a single lease component. Variable costs, such as utilities and maintenance costs, are not included in the measurement of right-of-use assets and lease liabilities, but rather are expensed when the event determining the amount of variable consideration to be paid occurs.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82" w:right="4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 of operations and comprehensive loss of its operating leases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4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0" w:type="dxa"/>
            <w:vAlign w:val="bottom"/>
            <w:shd w:val="clear" w:color="auto" w:fill="CCEEFF"/>
          </w:tcPr>
          <w:p>
            <w:pPr>
              <w:spacing w:after="0"/>
              <w:rPr>
                <w:sz w:val="18"/>
                <w:szCs w:val="18"/>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Pr>
          <w:p>
            <w:pPr>
              <w:spacing w:after="0"/>
              <w:rPr>
                <w:sz w:val="19"/>
                <w:szCs w:val="19"/>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costs</w:t>
            </w:r>
          </w:p>
        </w:tc>
        <w:tc>
          <w:tcPr>
            <w:tcW w:w="2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5,077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2,182</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convertible preferred stock, outstanding stock options, outstanding warrants and unvested restricted common stock are considered to be potentially dilutive securities, however the following common stock equivalents were excluded from the calculation of diluted net loss per share because their effect would be anti-dilutive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Stock</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Series B-2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20,863</w:t>
            </w: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12,304</w:t>
            </w: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90,847</w:t>
            </w:r>
          </w:p>
        </w:tc>
        <w:tc>
          <w:tcPr>
            <w:tcW w:w="4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after the unaudited condensed consolidated balance sheet date of September 30, 2023 through November 6, 2023, the date these condensed consolidated financial statements were issued, to ensure that these condensed consolidated financial statements include appropriate disclosure of events both recognized in the condensed consolidated financial statements as of September 30, 2023, and events that occurred subsequently but were not recognized in the condensed consolidated financial statements. Except as disclosed elsewhere in Note 1 to the condensed consolidated financial statements, the Company concluded that no events or transactions have occurred that require disclosure in the accompanying condensed consolidated financial statements.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82" w:right="43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207"/>
        </w:trPr>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8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2"/>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Korro Bio, Inc.</w:t>
            </w:r>
          </w:p>
        </w:tc>
        <w:tc>
          <w:tcPr>
            <w:tcW w:w="128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Consolidated Financial Statements for the Years Ended December 31, 2022 and 2021</w:t>
            </w:r>
          </w:p>
        </w:tc>
        <w:tc>
          <w:tcPr>
            <w:tcW w:w="12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460" w:type="dxa"/>
            <w:vAlign w:val="bottom"/>
            <w:gridSpan w:val="3"/>
          </w:tcPr>
          <w:p>
            <w:pPr>
              <w:spacing w:after="0"/>
              <w:rPr>
                <w:sz w:val="24"/>
                <w:szCs w:val="24"/>
                <w:color w:val="auto"/>
              </w:rPr>
            </w:pP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3"/>
              </w:rPr>
              <w:t>F-69</w:t>
            </w:r>
          </w:p>
        </w:tc>
      </w:tr>
      <w:tr>
        <w:trPr>
          <w:trHeight w:val="196"/>
        </w:trPr>
        <w:tc>
          <w:tcPr>
            <w:tcW w:w="120" w:type="dxa"/>
            <w:vAlign w:val="bottom"/>
          </w:tcPr>
          <w:p>
            <w:pPr>
              <w:spacing w:after="0"/>
              <w:rPr>
                <w:sz w:val="17"/>
                <w:szCs w:val="17"/>
                <w:color w:val="auto"/>
              </w:rPr>
            </w:pPr>
          </w:p>
        </w:tc>
        <w:tc>
          <w:tcPr>
            <w:tcW w:w="9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5000" w:type="dxa"/>
            <w:vAlign w:val="bottom"/>
            <w:gridSpan w:val="2"/>
          </w:tcPr>
          <w:p>
            <w:pPr>
              <w:spacing w:after="0"/>
              <w:rPr>
                <w:sz w:val="17"/>
                <w:szCs w:val="17"/>
                <w:color w:val="auto"/>
              </w:rPr>
            </w:pP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F-71</w:t>
            </w:r>
          </w:p>
        </w:tc>
      </w:tr>
      <w:tr>
        <w:trPr>
          <w:trHeight w:val="196"/>
        </w:trPr>
        <w:tc>
          <w:tcPr>
            <w:tcW w:w="120" w:type="dxa"/>
            <w:vAlign w:val="bottom"/>
          </w:tcPr>
          <w:p>
            <w:pPr>
              <w:spacing w:after="0"/>
              <w:rPr>
                <w:sz w:val="17"/>
                <w:szCs w:val="17"/>
                <w:color w:val="auto"/>
              </w:rPr>
            </w:pPr>
          </w:p>
        </w:tc>
        <w:tc>
          <w:tcPr>
            <w:tcW w:w="5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3740" w:type="dxa"/>
            <w:vAlign w:val="bottom"/>
          </w:tcPr>
          <w:p>
            <w:pPr>
              <w:spacing w:after="0"/>
              <w:rPr>
                <w:sz w:val="17"/>
                <w:szCs w:val="17"/>
                <w:color w:val="auto"/>
              </w:rPr>
            </w:pP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F-72</w:t>
            </w:r>
          </w:p>
        </w:tc>
      </w:tr>
      <w:tr>
        <w:trPr>
          <w:trHeight w:val="196"/>
        </w:trPr>
        <w:tc>
          <w:tcPr>
            <w:tcW w:w="120" w:type="dxa"/>
            <w:vAlign w:val="bottom"/>
          </w:tcPr>
          <w:p>
            <w:pPr>
              <w:spacing w:after="0"/>
              <w:rPr>
                <w:sz w:val="17"/>
                <w:szCs w:val="17"/>
                <w:color w:val="auto"/>
              </w:rPr>
            </w:pPr>
          </w:p>
        </w:tc>
        <w:tc>
          <w:tcPr>
            <w:tcW w:w="9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F-73</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F-74</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2"/>
          </w:tcPr>
          <w:p>
            <w:pPr>
              <w:jc w:val="center"/>
              <w:ind w:right="3340"/>
              <w:spacing w:after="0"/>
              <w:rPr>
                <w:sz w:val="20"/>
                <w:szCs w:val="20"/>
                <w:color w:val="auto"/>
              </w:rPr>
            </w:pPr>
            <w:r>
              <w:rPr>
                <w:rFonts w:ascii="Times New Roman" w:cs="Times New Roman" w:eastAsia="Times New Roman" w:hAnsi="Times New Roman"/>
                <w:sz w:val="18"/>
                <w:szCs w:val="18"/>
                <w:color w:val="auto"/>
                <w:w w:val="99"/>
              </w:rPr>
              <w:t>F-68</w:t>
            </w:r>
          </w:p>
        </w:tc>
        <w:tc>
          <w:tcPr>
            <w:tcW w:w="1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Korro Bio,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Korro Bio, Inc. (the Company) as of December 31, 2022 and 2021, the related consolidated statements of operations and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is not currently generating revenue, expects to continue incurring significant operating losses and negative operating cash flows for the foreseeable future, requires additional financing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27,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82" w:right="47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83,492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35,040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73,742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127,575</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Seed convertible preferred stock, $0.001 par value 13,781 shares authorized,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and 2021 (aggregate liquidation preference of $16,115 at December 31, 2022 and 2021)</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15,924</w:t>
            </w:r>
          </w:p>
        </w:tc>
        <w:tc>
          <w:tcPr>
            <w:tcW w:w="0" w:type="dxa"/>
            <w:vAlign w:val="bottom"/>
          </w:tcPr>
          <w:p>
            <w:pPr>
              <w:spacing w:after="0"/>
              <w:rPr>
                <w:sz w:val="1"/>
                <w:szCs w:val="1"/>
                <w:color w:val="auto"/>
              </w:rPr>
            </w:pPr>
          </w:p>
        </w:tc>
      </w:tr>
      <w:tr>
        <w:trPr>
          <w:trHeight w:val="198"/>
        </w:trPr>
        <w:tc>
          <w:tcPr>
            <w:tcW w:w="9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40,848 shares authorized, issued and outstanding at December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and 2021 (aggregate liquidation preference of $91,500 at December 31, 2022 and 2021)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77,736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77,736</w:t>
            </w:r>
          </w:p>
        </w:tc>
        <w:tc>
          <w:tcPr>
            <w:tcW w:w="0" w:type="dxa"/>
            <w:vAlign w:val="bottom"/>
          </w:tcPr>
          <w:p>
            <w:pPr>
              <w:spacing w:after="0"/>
              <w:rPr>
                <w:sz w:val="1"/>
                <w:szCs w:val="1"/>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B-1 convertible preferred stock, $0.001 par value 22,222 shares authorized,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and 2021 (aggregate liquidation preference of $58,000 at December 31, 2022 and 2021)</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57,703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57,703</w:t>
            </w:r>
          </w:p>
        </w:tc>
        <w:tc>
          <w:tcPr>
            <w:tcW w:w="0" w:type="dxa"/>
            <w:vAlign w:val="bottom"/>
          </w:tcPr>
          <w:p>
            <w:pPr>
              <w:spacing w:after="0"/>
              <w:rPr>
                <w:sz w:val="1"/>
                <w:szCs w:val="1"/>
                <w:color w:val="auto"/>
              </w:rPr>
            </w:pPr>
          </w:p>
        </w:tc>
      </w:tr>
      <w:tr>
        <w:trPr>
          <w:trHeight w:val="198"/>
        </w:trPr>
        <w:tc>
          <w:tcPr>
            <w:tcW w:w="9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B-2 convertible preferred stock, $0.001 par value 20,863 shares authorized and 4,496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2022 and 2021 (aggregate liquidation preference of $12,500 at December 31, 2022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Stockholders’ deficit Common stock, $0.001 par value; 115,838 shares authorized at December 31, 2022 and 2021;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5,462 and 5,276 shares issued at December 31, 2022 and 2021, respectively; 5,404 and 4,788 shares outstanding at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(101,833)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(43,801)</w:t>
            </w:r>
          </w:p>
        </w:tc>
        <w:tc>
          <w:tcPr>
            <w:tcW w:w="0" w:type="dxa"/>
            <w:vAlign w:val="bottom"/>
          </w:tcPr>
          <w:p>
            <w:pPr>
              <w:spacing w:after="0"/>
              <w:rPr>
                <w:sz w:val="1"/>
                <w:szCs w:val="1"/>
                <w:color w:val="auto"/>
              </w:rPr>
            </w:pPr>
          </w:p>
        </w:tc>
      </w:tr>
      <w:tr>
        <w:trPr>
          <w:trHeight w:val="230"/>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(42,208)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73,742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127,575</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82" w:right="4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42,201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23,805</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16,797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11,689</w:t>
            </w:r>
          </w:p>
        </w:tc>
      </w:tr>
      <w:tr>
        <w:trPr>
          <w:trHeight w:val="230"/>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2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(58,998)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13,505</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13,537</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(21,957)</w:t>
            </w:r>
          </w:p>
        </w:tc>
        <w:tc>
          <w:tcPr>
            <w:tcW w:w="12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5,136</w:t>
            </w:r>
          </w:p>
        </w:tc>
        <w:tc>
          <w:tcPr>
            <w:tcW w:w="1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4,447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(58,032)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(58,030)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(21,966)</w:t>
            </w:r>
          </w:p>
        </w:tc>
      </w:tr>
      <w:tr>
        <w:trPr>
          <w:trHeight w:val="20"/>
        </w:trPr>
        <w:tc>
          <w:tcPr>
            <w:tcW w:w="6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82" w:right="4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20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0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Series Seed</w:t>
            </w:r>
          </w:p>
        </w:tc>
        <w:tc>
          <w:tcPr>
            <w:tcW w:w="60" w:type="dxa"/>
            <w:vAlign w:val="bottom"/>
            <w:vMerge w:val="restart"/>
          </w:tcPr>
          <w:p>
            <w:pPr>
              <w:spacing w:after="0"/>
              <w:rPr>
                <w:sz w:val="3"/>
                <w:szCs w:val="3"/>
                <w:color w:val="auto"/>
              </w:rPr>
            </w:pPr>
          </w:p>
        </w:tc>
        <w:tc>
          <w:tcPr>
            <w:tcW w:w="11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1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9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140" w:type="dxa"/>
            <w:vAlign w:val="bottom"/>
            <w:gridSpan w:val="5"/>
            <w:vMerge w:val="continue"/>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60" w:type="dxa"/>
            <w:vAlign w:val="bottom"/>
          </w:tcPr>
          <w:p>
            <w:pPr>
              <w:spacing w:after="0"/>
              <w:rPr>
                <w:sz w:val="12"/>
                <w:szCs w:val="12"/>
                <w:color w:val="auto"/>
              </w:rPr>
            </w:pPr>
          </w:p>
        </w:tc>
        <w:tc>
          <w:tcPr>
            <w:tcW w:w="1140" w:type="dxa"/>
            <w:vAlign w:val="bottom"/>
            <w:gridSpan w:val="5"/>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160" w:type="dxa"/>
            <w:vAlign w:val="bottom"/>
            <w:gridSpan w:val="5"/>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98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6"/>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60" w:type="dxa"/>
            <w:vAlign w:val="bottom"/>
          </w:tcPr>
          <w:p>
            <w:pPr>
              <w:spacing w:after="0"/>
              <w:rPr>
                <w:sz w:val="11"/>
                <w:szCs w:val="11"/>
                <w:color w:val="auto"/>
              </w:rPr>
            </w:pPr>
          </w:p>
        </w:tc>
        <w:tc>
          <w:tcPr>
            <w:tcW w:w="114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160" w:type="dxa"/>
            <w:vAlign w:val="bottom"/>
            <w:gridSpan w:val="5"/>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98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2"/>
                <w:szCs w:val="12"/>
                <w:color w:val="auto"/>
              </w:rPr>
            </w:pPr>
          </w:p>
        </w:tc>
        <w:tc>
          <w:tcPr>
            <w:tcW w:w="11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8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6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52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56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4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440" w:type="dxa"/>
            <w:vAlign w:val="bottom"/>
            <w:tcBorders>
              <w:top w:val="single" w:sz="8" w:color="auto"/>
            </w:tcBorders>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3"/>
              </w:rPr>
              <w:t>13,781</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$ 15,924</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8"/>
              </w:rPr>
              <w:t>20,424</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$ 34,479</w:t>
            </w:r>
          </w:p>
        </w:tc>
        <w:tc>
          <w:tcPr>
            <w:tcW w:w="160" w:type="dxa"/>
            <w:vAlign w:val="bottom"/>
            <w:tcBorders>
              <w:top w:val="single" w:sz="8" w:color="CCEEFF"/>
              <w:lef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4,072</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(21,842)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(21,156)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 convertible</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 net of</w:t>
            </w:r>
          </w:p>
        </w:tc>
        <w:tc>
          <w:tcPr>
            <w:tcW w:w="40" w:type="dxa"/>
            <w:vAlign w:val="bottom"/>
          </w:tcPr>
          <w:p>
            <w:pPr>
              <w:spacing w:after="0"/>
              <w:rPr>
                <w:sz w:val="12"/>
                <w:szCs w:val="12"/>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8"/>
              </w:rPr>
              <w:t>20,424</w:t>
            </w:r>
          </w:p>
        </w:tc>
        <w:tc>
          <w:tcPr>
            <w:tcW w:w="120" w:type="dxa"/>
            <w:vAlign w:val="bottom"/>
          </w:tcPr>
          <w:p>
            <w:pPr>
              <w:spacing w:after="0"/>
              <w:rPr>
                <w:sz w:val="12"/>
                <w:szCs w:val="1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45,708</w:t>
            </w:r>
          </w:p>
        </w:tc>
        <w:tc>
          <w:tcPr>
            <w:tcW w:w="160" w:type="dxa"/>
            <w:vAlign w:val="bottom"/>
          </w:tcPr>
          <w:p>
            <w:pPr>
              <w:spacing w:after="0"/>
              <w:rPr>
                <w:sz w:val="12"/>
                <w:szCs w:val="12"/>
                <w:color w:val="auto"/>
              </w:rPr>
            </w:pP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 of $42</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preferred</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 tranche asset upon</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Series A</w:t>
            </w: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60" w:type="dxa"/>
            <w:vAlign w:val="bottom"/>
            <w:tcBorders>
              <w:left w:val="single" w:sz="8" w:color="CCEEFF"/>
            </w:tcBorders>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B-1</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tcPr>
          <w:p>
            <w:pPr>
              <w:spacing w:after="0"/>
              <w:rPr>
                <w:sz w:val="12"/>
                <w:szCs w:val="12"/>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22,222</w:t>
            </w:r>
          </w:p>
        </w:tc>
        <w:tc>
          <w:tcPr>
            <w:tcW w:w="6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57,703</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issuance costs of $297</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B-2</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4,496</w:t>
            </w:r>
          </w:p>
        </w:tc>
        <w:tc>
          <w:tcPr>
            <w:tcW w:w="5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12,500</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issuance costs of $0</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stock options</w:t>
            </w:r>
          </w:p>
        </w:tc>
        <w:tc>
          <w:tcPr>
            <w:tcW w:w="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3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470</w:t>
            </w:r>
          </w:p>
        </w:tc>
        <w:tc>
          <w:tcPr>
            <w:tcW w:w="3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warrant to purchase</w:t>
            </w:r>
          </w:p>
        </w:tc>
        <w:tc>
          <w:tcPr>
            <w:tcW w:w="40" w:type="dxa"/>
            <w:vAlign w:val="bottom"/>
          </w:tcPr>
          <w:p>
            <w:pPr>
              <w:spacing w:after="0"/>
              <w:rPr>
                <w:sz w:val="10"/>
                <w:szCs w:val="10"/>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807</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31"/>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51"/>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(21,959)</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(21,959)</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tcPr>
          <w:p>
            <w:pPr>
              <w:spacing w:after="0"/>
              <w:rPr>
                <w:sz w:val="13"/>
                <w:szCs w:val="13"/>
                <w:color w:val="auto"/>
              </w:rPr>
            </w:pPr>
          </w:p>
        </w:tc>
        <w:tc>
          <w:tcPr>
            <w:tcW w:w="4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w w:val="93"/>
              </w:rPr>
              <w:t>13,781</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15,924</w:t>
            </w:r>
          </w:p>
        </w:tc>
        <w:tc>
          <w:tcPr>
            <w:tcW w:w="100" w:type="dxa"/>
            <w:vAlign w:val="bottom"/>
            <w:vMerge w:val="continue"/>
          </w:tcPr>
          <w:p>
            <w:pPr>
              <w:spacing w:after="0"/>
              <w:rPr>
                <w:sz w:val="13"/>
                <w:szCs w:val="13"/>
                <w:color w:val="auto"/>
              </w:rPr>
            </w:pPr>
          </w:p>
        </w:tc>
        <w:tc>
          <w:tcPr>
            <w:tcW w:w="4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w w:val="88"/>
              </w:rPr>
              <w:t>40,848</w:t>
            </w:r>
          </w:p>
        </w:tc>
        <w:tc>
          <w:tcPr>
            <w:tcW w:w="120" w:type="dxa"/>
            <w:vAlign w:val="bottom"/>
            <w:vMerge w:val="continue"/>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77,736</w:t>
            </w:r>
          </w:p>
        </w:tc>
        <w:tc>
          <w:tcPr>
            <w:tcW w:w="160" w:type="dxa"/>
            <w:vAlign w:val="bottom"/>
            <w:vMerge w:val="continue"/>
          </w:tcPr>
          <w:p>
            <w:pPr>
              <w:spacing w:after="0"/>
              <w:rPr>
                <w:sz w:val="13"/>
                <w:szCs w:val="13"/>
                <w:color w:val="auto"/>
              </w:rPr>
            </w:pPr>
          </w:p>
        </w:tc>
        <w:tc>
          <w:tcPr>
            <w:tcW w:w="4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w w:val="93"/>
              </w:rPr>
              <w:t>22,222</w:t>
            </w:r>
          </w:p>
        </w:tc>
        <w:tc>
          <w:tcPr>
            <w:tcW w:w="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57,703</w:t>
            </w:r>
          </w:p>
        </w:tc>
        <w:tc>
          <w:tcPr>
            <w:tcW w:w="120" w:type="dxa"/>
            <w:vAlign w:val="bottom"/>
            <w:vMerge w:val="continue"/>
          </w:tcPr>
          <w:p>
            <w:pPr>
              <w:spacing w:after="0"/>
              <w:rPr>
                <w:sz w:val="13"/>
                <w:szCs w:val="13"/>
                <w:color w:val="auto"/>
              </w:rPr>
            </w:pPr>
          </w:p>
        </w:tc>
        <w:tc>
          <w:tcPr>
            <w:tcW w:w="3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4,496</w:t>
            </w:r>
          </w:p>
        </w:tc>
        <w:tc>
          <w:tcPr>
            <w:tcW w:w="1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12,500</w:t>
            </w:r>
          </w:p>
        </w:tc>
        <w:tc>
          <w:tcPr>
            <w:tcW w:w="40" w:type="dxa"/>
            <w:vAlign w:val="bottom"/>
            <w:vMerge w:val="continue"/>
          </w:tcPr>
          <w:p>
            <w:pPr>
              <w:spacing w:after="0"/>
              <w:rPr>
                <w:sz w:val="13"/>
                <w:szCs w:val="13"/>
                <w:color w:val="auto"/>
              </w:rPr>
            </w:pPr>
          </w:p>
        </w:tc>
        <w:tc>
          <w:tcPr>
            <w:tcW w:w="20" w:type="dxa"/>
            <w:vAlign w:val="bottom"/>
            <w:vMerge w:val="continue"/>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4,788</w:t>
            </w:r>
          </w:p>
        </w:tc>
        <w:tc>
          <w:tcPr>
            <w:tcW w:w="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5</w:t>
            </w:r>
          </w:p>
        </w:tc>
        <w:tc>
          <w:tcPr>
            <w:tcW w:w="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1,595</w:t>
            </w:r>
          </w:p>
        </w:tc>
        <w:tc>
          <w:tcPr>
            <w:tcW w:w="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(43,801)</w:t>
            </w: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(42,208)</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6"/>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Series Seed</w:t>
            </w:r>
          </w:p>
        </w:tc>
        <w:tc>
          <w:tcPr>
            <w:tcW w:w="60" w:type="dxa"/>
            <w:vAlign w:val="bottom"/>
          </w:tcPr>
          <w:p>
            <w:pPr>
              <w:spacing w:after="0"/>
              <w:rPr>
                <w:sz w:val="21"/>
                <w:szCs w:val="21"/>
                <w:color w:val="auto"/>
              </w:rPr>
            </w:pPr>
          </w:p>
        </w:tc>
        <w:tc>
          <w:tcPr>
            <w:tcW w:w="11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1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9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2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5"/>
            <w:vMerge w:val="continue"/>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60" w:type="dxa"/>
            <w:vAlign w:val="bottom"/>
          </w:tcPr>
          <w:p>
            <w:pPr>
              <w:spacing w:after="0"/>
              <w:rPr>
                <w:sz w:val="12"/>
                <w:szCs w:val="12"/>
                <w:color w:val="auto"/>
              </w:rPr>
            </w:pPr>
          </w:p>
        </w:tc>
        <w:tc>
          <w:tcPr>
            <w:tcW w:w="1140" w:type="dxa"/>
            <w:vAlign w:val="bottom"/>
            <w:gridSpan w:val="5"/>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160" w:type="dxa"/>
            <w:vAlign w:val="bottom"/>
            <w:gridSpan w:val="5"/>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98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6"/>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60" w:type="dxa"/>
            <w:vAlign w:val="bottom"/>
          </w:tcPr>
          <w:p>
            <w:pPr>
              <w:spacing w:after="0"/>
              <w:rPr>
                <w:sz w:val="11"/>
                <w:szCs w:val="11"/>
                <w:color w:val="auto"/>
              </w:rPr>
            </w:pPr>
          </w:p>
        </w:tc>
        <w:tc>
          <w:tcPr>
            <w:tcW w:w="1140" w:type="dxa"/>
            <w:vAlign w:val="bottom"/>
            <w:gridSpan w:val="5"/>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160" w:type="dxa"/>
            <w:vAlign w:val="bottom"/>
            <w:gridSpan w:val="5"/>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98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2"/>
                <w:szCs w:val="12"/>
                <w:color w:val="auto"/>
              </w:rPr>
            </w:pPr>
          </w:p>
        </w:tc>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8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6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83"/>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79"/>
              </w:rPr>
              <w:t>Amount</w:t>
            </w:r>
          </w:p>
        </w:tc>
        <w:tc>
          <w:tcPr>
            <w:tcW w:w="160" w:type="dxa"/>
            <w:vAlign w:val="bottom"/>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4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Exercises of stock options</w:t>
            </w: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lef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w w:val="95"/>
              </w:rPr>
              <w:t>176</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40" w:type="dxa"/>
            <w:vAlign w:val="bottom"/>
          </w:tcPr>
          <w:p>
            <w:pPr>
              <w:spacing w:after="0"/>
              <w:rPr>
                <w:sz w:val="10"/>
                <w:szCs w:val="10"/>
                <w:color w:val="auto"/>
              </w:rPr>
            </w:pPr>
          </w:p>
        </w:tc>
        <w:tc>
          <w:tcPr>
            <w:tcW w:w="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430</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rendered</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tcPr>
          <w:p>
            <w:pPr>
              <w:spacing w:after="0"/>
              <w:rPr>
                <w:sz w:val="10"/>
                <w:szCs w:val="10"/>
                <w:color w:val="auto"/>
              </w:rPr>
            </w:pPr>
          </w:p>
        </w:tc>
        <w:tc>
          <w:tcPr>
            <w:tcW w:w="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1,129</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(58,032)</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(58,032)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13,781</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15,924</w:t>
            </w:r>
          </w:p>
        </w:tc>
        <w:tc>
          <w:tcPr>
            <w:tcW w:w="56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40,848</w:t>
            </w:r>
          </w:p>
        </w:tc>
        <w:tc>
          <w:tcPr>
            <w:tcW w:w="6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77,736</w:t>
            </w:r>
          </w:p>
        </w:tc>
        <w:tc>
          <w:tcPr>
            <w:tcW w:w="5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22,222</w:t>
            </w: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57,703</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4,496</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 xml:space="preserve"> 12,500</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5,404</w:t>
            </w: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2,802</w:t>
            </w:r>
          </w:p>
        </w:tc>
        <w:tc>
          <w:tcPr>
            <w:tcW w:w="180" w:type="dxa"/>
            <w:vAlign w:val="bottom"/>
            <w:shd w:val="clear" w:color="auto" w:fill="CCEEFF"/>
          </w:tcPr>
          <w:p>
            <w:pPr>
              <w:jc w:val="right"/>
              <w:ind w:right="34"/>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(101,833)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(99,031)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82"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(58,032)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(21,959)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2,511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(37,213)</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(35,067)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53,485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(5,136)</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 not yet received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(39,501)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Series A convertible preferred stock, net of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45,708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Series B-1 convertible preferred stock, net of issuance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57,739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Series B-2 convertible preferred stock, net of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(42,567)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44,350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39,694</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41,477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84,044</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capitalized under tenant improvement allowance</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costs in accounts payable and accrued expenses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right-of-use assets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5,629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40"/>
          </w:cols>
          <w:pgMar w:left="320" w:top="482"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The Company and Liquidity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Korro Bio, Inc. (the “Company”) is an RNA editing company focused on the discovery and development of novel genetic medicines. The Company was incorporated in September 2018 as RNABIO, Inc. and subsequently renamed in November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19" w:lineRule="exact"/>
        <w:rPr>
          <w:sz w:val="20"/>
          <w:szCs w:val="20"/>
          <w:color w:val="auto"/>
        </w:rPr>
      </w:pPr>
    </w:p>
    <w:p>
      <w:pPr>
        <w:jc w:val="both"/>
        <w:ind w:left="120" w:right="360"/>
        <w:spacing w:after="0" w:line="267" w:lineRule="auto"/>
        <w:rPr>
          <w:sz w:val="20"/>
          <w:szCs w:val="20"/>
          <w:color w:val="auto"/>
        </w:rPr>
      </w:pPr>
      <w:r>
        <w:rPr>
          <w:rFonts w:ascii="Times New Roman" w:cs="Times New Roman" w:eastAsia="Times New Roman" w:hAnsi="Times New Roman"/>
          <w:sz w:val="18"/>
          <w:szCs w:val="18"/>
          <w:color w:val="auto"/>
        </w:rPr>
        <w:t xml:space="preserve">Pursuant to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Statements-Going Concern</w:t>
      </w:r>
      <w:r>
        <w:rPr>
          <w:rFonts w:ascii="Times New Roman" w:cs="Times New Roman" w:eastAsia="Times New Roman" w:hAnsi="Times New Roman"/>
          <w:sz w:val="18"/>
          <w:szCs w:val="18"/>
          <w:color w:val="auto"/>
        </w:rPr>
        <w:t>, an entity is required to assess whether there are conditions and events, considered in the aggregate, that raise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about an entity’s ability to continue as a going concern within one year after the date that the financial statements are issued.</w:t>
      </w:r>
    </w:p>
    <w:p>
      <w:pPr>
        <w:spacing w:after="0" w:line="17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has been financed from its inception through December 31, 2022 primarily through $15.9 million of net cash proceeds received from the sale of Series Seed convertible preferred stock (the “Series Seed Preferred Stock”), $91.2 million of net cash proceeds received from the sale of Series A convertible preferred stock (the “Series A Preferred Stock”), $57.7 million of net cash proceeds received from the sale of Series B-1 convertible preferred stock (the “Series B-1 Preferred Stock”) and $12.5 million of net cash proceeds received from the sale of Series B-2 convertible preferred stock (the “Series B-2 Preferred Stock”). As outlined further within Note 16, “Subsequent Events”, the Company also received $45.5 million of net cash proceeds in March 2023 from the sale of additional shares of Series B-2 Preferred Stock.</w:t>
      </w:r>
    </w:p>
    <w:p>
      <w:pPr>
        <w:spacing w:after="0" w:line="187"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Company is not currently generating revenue, expects to continue incurring significant operating losses and negative operating cash flows for the foreseeable future and has no currently available sources of financing. As such, the Company will require additional financing. However, if the Company is unable to obtain additional financing, the Company would be forced to delay, reduce or eliminate its research and development programs and/or relinquish valuable rights to its technology and product candidates. There is no assurance that the Company will be successful in obtaining sufficient financing on acceptable terms to continue funding its operations.</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Based upon the above considerations, the Company has concluded that there is substantial doubt about its ability to continue as a going concern within one year from July 27, 2023, the date these consolidated financial statements were issued.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40"/>
          </w:cols>
          <w:pgMar w:left="320" w:top="482"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These consolidated financial statements have been prepared on the going concern basis of accounting, which assumes continuity of operations, realization of assets and satisfaction of liabilities in the ordinary course of business.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Korro Bio, Inc. and its wholly-owned subsidiary, Korro Mass Securities, Inc., which was established in December 2020. All intercompany transactions and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operates only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accrued expenses and stock-based compensation expense. During the year ended December 31, 2021, the Company’s estimates also included the valuation of the preferred stock tranche asset and liability related to the Series A Preferred Stock. The Company bases its estimates on historical experience and other market specific or other relevant assumptions it believes to be reasonable under the circumstances. Actual results could differ from those estimates.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5"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81" w:lineRule="exact"/>
        <w:rPr>
          <w:sz w:val="20"/>
          <w:szCs w:val="20"/>
          <w:color w:val="auto"/>
        </w:rPr>
      </w:pPr>
    </w:p>
    <w:p>
      <w:pPr>
        <w:ind w:left="1080" w:hanging="424"/>
        <w:spacing w:after="0"/>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82"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Cash equivalents are highly-liquid investments that are readily convertible into cash with original maturities of three months or less when purchased. These assets include investments in money market funds that invest in U.S. Treasury obligations. Cash equivalents are reflected at fair value based on quoted market prices, as further described in Note 3, “Fair Value Measurements”.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Investments consist of securities with original maturities greater than three months when purchased. Short-term investments consist of investments that are available for use in current operations. Long-term investments consist of investments with maturities of greater than one year that are not available for use in current operations. The Company did not maintain any long-term investments as of December 31, 2022 or 2021.</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securities. Accordingly, these investments are recorded at fair value. Realized gains and losses and amortization and accretion of discounts and premiums are included in “Other income, net”. Unrealized gains and losses on available-for-sale securities are included in “Accumulated other comprehensive loss” as a component of stockholders’ deficit until realized.</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 portfolio to identify and evaluate investments that have indicators of possible other-than-temporary impairment. Factors considered in determining whether a loss is other-than-temporary include the length of time and extent to which fair value has been less than the cost basis, the financial condition of the issuer and the Company’s intent and ability to hold the investment for a period of time sufficient to allow for any anticipated recovery in market value.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Property and equipment are recorded at cost and consists of laboratory equipment, furniture and office equipment, computer equipment, leasehold improvements, and construction in progress. The Company capitalizes property and equipment that is acquired for research and development activities and that has alternative future use. Expenditures for repairs and maintenance are recorded to expense as incurred, whereas major betterments are capitalized as additions to property and equipment. Property and equipment not yet placed into service is capitalized as construction in progress and is depreciated once placed into service. Leasehold improvements are depreciated over the lesser of their useful lives or the term of the lease. Depreciation, including depreciation for assets recorded under capital leases, is calculated over the estimated useful lives of the assets using the straight-line method.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when events or changes in circumstances indicate that the carrying value of an asset may not be recoverable. Recoverability is measured by comparing the carrying value of the asset to the future undiscounted cash flows from the use and eventual disposition of the asset. If an asset is considered to be impaired, the impairment loss to be recognized is measured as the amount by which the carrying value of the asset exceeds its fair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82"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Expenditures relating to research and development are expensed as incurred. Research and development expenses include external expenses incurred under arrangements with third parties, academic and non-profit institutions and consultants; salaries and personnel-related costs, including non-cash stock-based compensation expense; license fees to acquire in-process technology and other expenses, which include direct and allocated expenses for laboratory, facilities and other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68"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the Company is required to estimate its accrued research and development expenses as of each balance sheet date. In accruing service fees, the Company estimates the time period over which services will be performed and the level of effort to be expended in each period. This process involves reviewing open contracts and purchase orders, communicating with internal personnel to identify services that have been performed on the Company’s behalf and estimating the level of service performed and the associated cost incurred for the service when the Company has not yet been invoiced or otherwise notified of the actual cost. The Company periodically confirms the accuracy of its estimates with its service providers and makes adjustments if necessary. The majority of the Company’s service providers invoice monthly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the Company records a prepaid expense.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Expenses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Company expenses legal costs related to patent applications as they are incurred. Such costs are classified as general and administrative expenses within the consolidated statements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This guidance requires all stock-based payments, including grants of stock options and restricted common stock, to be recognized as expense in the consolidated statements of operations and comprehensive loss based on their grant date fair values. For stock options granted to employees, non-employees and members of the Company’s Board of Directors for their services on the Board of Directors, the Company estimates the grant date fair value of each stock option using the Black-Scholes option-pricing model. For restricted common stock granted to employees and non-employees, the Company estimates the grant date fair value of each award using the intrinsic value, which is based on the value of the underlying common stock less any purchase price. For stock-based payments subject to service-based vesting conditions, the Company recognizes stock-based compensation expense equal to the grant date fair value of stock-based payment on a straight-line basis over the requisite service period.</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The Company estimates the grant date fair value of its common stock using an appropriate valuation methodology,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 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Historically, the Company has utilized a market approach to determine its total equity value and the option pricing method (“OPM”)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this equity value among various classes of securities. The OPM treats common stock and convertible preferred stock as call options on the total equity value of a company, with exercise prices based on the value thresholds at which the allocation among the various holders of a company’s securities changes. Under the OPM,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82"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then applied to arrive at an indication of value for the common stock.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convertible preferred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and restricted stock at each valuation date, as applicable.</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to the grant date fair value of the Company’s common stock, the Black-Scholes option pricing model requires the input of certain subjective assumptions, including (i) the calculation of expected term of the stock-based payment, (ii) the risk-free interest rate, (iii) the expected stock price volatility and (iv) the expected dividend yield. The Company uses the simplified method as proscribed by SEC Staff Accounting Bulletin No. 107 to calculate the expected term for stock options granted to employees as the Company does not have sufficient historical exercise data to provide a reasonable basis upon which to estimate the expected term. The Company determines the risk-free interest rate based on a treasury instrument whose term is consistent with the expected term of the stock options. Because there is no public market for the Company’s common stock, there is a lack of Company-specific historical and implied volatility data. Accordingly, the Company bases its estimates of expected volatility on the historical volatility of a group of publicly-traded companies with similar characteristics to itself, including stage of product development and therapeutic focus within the life sciences industry. Historical volatility is calculated over a period of time commensurate with the expected term of the stock-based payment. The Company uses an assumed dividend yield of zero as the Company has never paid dividends on its common stock, nor does it expect to pay dividends on its common stock in the foreseeable future.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accounts for forfeitures of all stock-based payments when such forfeitures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Interest and penalty charges, if any, related to income taxes would be classified as a component of the “Provision for income taxes” in the consolidated statements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stockholders by the weighted-average number of common shares outstanding during the period. Diluted net loss per share is calculated by dividing the net loss attributable to common stockholders by the weighted-average number of common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20"/>
          </w:cols>
          <w:pgMar w:left="320" w:top="482"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outstanding for the period, including any dilutive effect from convertible preferred stock, outstanding stock options, outstanding warrants or unvested restricted common stock.</w:t>
      </w:r>
    </w:p>
    <w:p>
      <w:pPr>
        <w:spacing w:after="0" w:line="16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for periods when issued shares that meet the definition of participating securities are outstanding. The two-class method calls for the calculation of net loss per share for each class of common and participating securities according to dividends declared or accumulated and participation rights in undistributed earnings. The two-class method requires income available to common stockholders to be allocated between common and participating securities based upon their respective rights to receive dividends as if all income for the period had been distributed. Net losses are not allocated to the Company’s preferred stockholders as they do not have an obligation to share in the Company’s net losses.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cash equivalents and investments. Cash balances are deposited with federally-insured financial institutions in the United States and may, at times, exceed federally-insured limits. The Company maintains its cash, cash equivalents and investments with high-quality financial institutions and, consequently, the Company believes that such funds are subject to minimal credit risk. The Company’s cash equivalents are comprised of money market funds that are invested in U.S. Treasury and government agency obligations. The Company’s investments are comprised of commercial paper and government securities. Credit risk in these securities is reduced as a result of the Company’s investment policy to limit the amount invested in any single issuer and to only invest in securities of a high credit quality.</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requires a lessee to recognize assets and liabilities on the balance sheet for operating leases and changes many key definitions, including the definition of a lease. The new standard includes a short-term lease exception for leases with a term of 12 months or less, as part of which a lessee can make an accounting policy election not to recognize lease assets and lease liabilities. Lessees will continue to differentiate between finance leases (previously referred to as capital leases) and operating leases using classification criteria that are substantially similar to the previous guidance. In July 2018, the FASB also issued ASU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 Targeted Improvements</w:t>
      </w:r>
      <w:r>
        <w:rPr>
          <w:rFonts w:ascii="Times New Roman" w:cs="Times New Roman" w:eastAsia="Times New Roman" w:hAnsi="Times New Roman"/>
          <w:sz w:val="18"/>
          <w:szCs w:val="18"/>
          <w:color w:val="auto"/>
        </w:rPr>
        <w:t>, which permits entities to continue applying legacy guidance in ASC Topic 840,</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(“ASC 840”), including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 requirements, in the comparative periods presented in the year that the entity adopts the new leasing standard. Under this transition method, the cumulative effect of initially applying ASC 842 is recognized as an adjustment to the opening balance of retained earnings or accumulated deficit at the beginning of the annual reporting period that includes the date of initial application. Finally, in June 2020, the FASB issued ASU 2020-05,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 (Topic 606) and Leases (Topic 842): Effective Dates for Certain Entities</w:t>
      </w:r>
      <w:r>
        <w:rPr>
          <w:rFonts w:ascii="Times New Roman" w:cs="Times New Roman" w:eastAsia="Times New Roman" w:hAnsi="Times New Roman"/>
          <w:sz w:val="18"/>
          <w:szCs w:val="18"/>
          <w:color w:val="auto"/>
        </w:rPr>
        <w:t>, whereby the effective date of this standard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to annual reporting periods beginning after December 15, 2021 and interim periods within annual reporting periods beginning after December 15, 2022, and early adoption was still permitted.</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Accordingly, the Company adopted ASC 842, as amended, on January 1, 2022 using the modified retrospective approach, which provides a method for recording existing leases at adoption and does not require restating comparative financial information. For the comparative period presented in these consolidated financial statements, lease-related disclosures continue to be presented in accordance with ASC 840. The Company also elected to utilize certain practical expedients under ASC 842, which among other things, permit the Company to i) maintain the lease classification for any existing leases, ii) maintain the Company’s determination as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80"/>
          </w:cols>
          <w:pgMar w:left="320" w:top="482"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whether any expired or existing contracts are or contain leases and iii) not separate nonlease components. Additionally, the Company elected an accounting policy whereby it does not apply the recognition requirements of ASC 842 to short-term leases with a term of 12 months or less.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Upon the adoption of ASC 842, the Company removed its legacy deferred rent balances that were previously recorded under ASC 840 and established an operating lease right-of-use asset of $2.9 million, an operating lease liability, current of $1.6 million and an operating lease liability, net of current portion of $3.3 million, all relating to the Company’s existing operating lease for its current corporate headquarters. There was no impact to the opening balance of accumulated deficit as a result of the adoption of ASC 842.</w:t>
      </w:r>
    </w:p>
    <w:p>
      <w:pPr>
        <w:spacing w:after="0" w:line="180"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amount by which each financial statement line item was affected by the adoption of ASC 842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Prior to the Adoption</w:t>
            </w:r>
          </w:p>
        </w:tc>
        <w:tc>
          <w:tcPr>
            <w:tcW w:w="268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Effect of Adoption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Subsequent to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of ASC 842</w:t>
            </w:r>
          </w:p>
        </w:tc>
        <w:tc>
          <w:tcPr>
            <w:tcW w:w="2680" w:type="dxa"/>
            <w:vAlign w:val="bottom"/>
            <w:gridSpan w:val="4"/>
            <w:vMerge w:val="continue"/>
          </w:tcPr>
          <w:p>
            <w:pPr>
              <w:spacing w:after="0"/>
              <w:rPr>
                <w:sz w:val="15"/>
                <w:szCs w:val="15"/>
                <w:color w:val="auto"/>
              </w:rPr>
            </w:pPr>
          </w:p>
        </w:tc>
        <w:tc>
          <w:tcPr>
            <w:tcW w:w="18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Adoption of ASC 842</w:t>
            </w:r>
          </w:p>
        </w:tc>
        <w:tc>
          <w:tcPr>
            <w:tcW w:w="0" w:type="dxa"/>
            <w:vAlign w:val="bottom"/>
          </w:tcPr>
          <w:p>
            <w:pPr>
              <w:spacing w:after="0"/>
              <w:rPr>
                <w:sz w:val="1"/>
                <w:szCs w:val="1"/>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5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6"/>
              </w:rPr>
              <w:t>939</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(939)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net of</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5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rent, net of current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portion</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6"/>
              </w:rPr>
              <w:t>969</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(969)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adoption of ASC 842 did not have a material impact on the consolidated statement of operations and comprehensive loss or the consolidated statement of cash flows for the year ended December 31, 2022.</w:t>
      </w:r>
    </w:p>
    <w:p>
      <w:pPr>
        <w:spacing w:after="0" w:line="16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eliminates certain exceptions to the guidance in ASC 740 related to the approach for intraperiod tax allocation, the methodology for calculating income taxes in an interim period and the recognition of deferred tax liabilities when investment ownership changes. In addition, ASU 2019-12 simplifies the accounting for the interim period effects of changes in tax laws or rates and transactions that result in a step-up in the tax basis of goodwill. This guidance is effective for annual reporting periods beginning after December 15, 2021 and interim periods within annual reporting periods beginning after December 15, 2022, and early adoption is permitted. The Company adopted this new standard effective January 1, 2022, and there was no impact to the consolidated financial statements as a result of the adoption of this guidance.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Pronouncements-Yet to be Adopted</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This standard requires that credit losses be reported using an expected losses model rather than the incurred losses model that is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used, and it establishes additional disclosure requirements related to credit risks. For available-for-sale debt securities with expected credit losses, this standard now requires allowances to be recorded instead of reducing the amortized cost of the investment. This guidance was originally effective for annual reporting periods beginning after December 15, 2020 and interim periods within fiscal years beginning after December 31, 2021, and early adoption was permitted. In November 2019, the FASB subsequently issued ASU 2019-10, </w:t>
      </w:r>
      <w:r>
        <w:rPr>
          <w:rFonts w:ascii="Times New Roman" w:cs="Times New Roman" w:eastAsia="Times New Roman" w:hAnsi="Times New Roman"/>
          <w:sz w:val="17"/>
          <w:szCs w:val="17"/>
          <w:i w:val="1"/>
          <w:iCs w:val="1"/>
          <w:color w:val="auto"/>
        </w:rPr>
        <w:t>Financial Instruments-Credit Losses (Topic 326), Derivatives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Hedging (Topic 815), and Leases (Topic 842): Effective Dates</w:t>
      </w:r>
      <w:r>
        <w:rPr>
          <w:rFonts w:ascii="Times New Roman" w:cs="Times New Roman" w:eastAsia="Times New Roman" w:hAnsi="Times New Roman"/>
          <w:sz w:val="17"/>
          <w:szCs w:val="17"/>
          <w:color w:val="auto"/>
        </w:rPr>
        <w:t>, whereby the effective date of this standard was deferred to annual reporting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beginning after December 15, 2022, including interim periods within those annual reporting periods, and early adoption is still permitted.</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080"/>
          </w:cols>
          <w:pgMar w:left="320" w:top="482" w:right="4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Accordingly, the Company will adopt this new standard effective January 1, 2023, and it does not expect that the adoption of ASU 2016-13 will have a material impact on the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money market funds based on quoted prices in active markets for identical securities. Investments also include commercial paper and government securities that are valued either based on recent trades of securities in inactive markets or based on quoted market prices of similar instruments and other significant inputs derived from or corroborated by observable market data. The carrying amounts reflected in the consolidated balance sheets for cash, prepaid expenses and other current assets, accounts payable and accrued expenses approximate their fair values, due to their short-term nature.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2022 were as follows (in thousands):</w:t>
      </w:r>
    </w:p>
    <w:p>
      <w:pPr>
        <w:sectPr>
          <w:pgSz w:w="11900" w:h="16838" w:orient="portrait"/>
          <w:cols w:equalWidth="0" w:num="1">
            <w:col w:w="11140"/>
          </w:cols>
          <w:pgMar w:left="320" w:top="482" w:right="439" w:bottom="1440" w:gutter="0" w:footer="0" w:header="0"/>
        </w:sect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Money market funds, included in cash and</w:t>
            </w:r>
          </w:p>
        </w:tc>
        <w:tc>
          <w:tcPr>
            <w:tcW w:w="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78"/>
        </w:trPr>
        <w:tc>
          <w:tcPr>
            <w:tcW w:w="3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$14,904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14,904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34"/>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23"/>
        </w:trPr>
        <w:tc>
          <w:tcPr>
            <w:tcW w:w="3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33,819</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-454025</wp:posOffset>
            </wp:positionV>
            <wp:extent cx="6429375"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-162560</wp:posOffset>
            </wp:positionV>
            <wp:extent cx="6429375"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-865505</wp:posOffset>
            </wp:positionV>
            <wp:extent cx="6429375" cy="274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29375" cy="274320"/>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2021 were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0" w:type="dxa"/>
            <w:vAlign w:val="bottom"/>
          </w:tcPr>
          <w:p>
            <w:pPr>
              <w:spacing w:after="0"/>
              <w:rPr>
                <w:sz w:val="13"/>
                <w:szCs w:val="13"/>
                <w:color w:val="auto"/>
              </w:rPr>
            </w:pPr>
          </w:p>
        </w:tc>
        <w:tc>
          <w:tcPr>
            <w:tcW w:w="11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0" w:type="dxa"/>
            <w:vAlign w:val="bottom"/>
          </w:tcPr>
          <w:p>
            <w:pPr>
              <w:spacing w:after="0"/>
              <w:rPr>
                <w:sz w:val="12"/>
                <w:szCs w:val="12"/>
                <w:color w:val="auto"/>
              </w:rPr>
            </w:pPr>
          </w:p>
        </w:tc>
        <w:tc>
          <w:tcPr>
            <w:tcW w:w="11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Money market funds, included in cash</w:t>
            </w: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78"/>
        </w:trPr>
        <w:tc>
          <w:tcPr>
            <w:tcW w:w="3800" w:type="dxa"/>
            <w:vAlign w:val="bottom"/>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71,579</w:t>
            </w: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34"/>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22,962</w:t>
            </w:r>
          </w:p>
        </w:tc>
        <w:tc>
          <w:tcPr>
            <w:tcW w:w="0" w:type="dxa"/>
            <w:vAlign w:val="bottom"/>
          </w:tcPr>
          <w:p>
            <w:pPr>
              <w:spacing w:after="0"/>
              <w:rPr>
                <w:sz w:val="1"/>
                <w:szCs w:val="1"/>
                <w:color w:val="auto"/>
              </w:rPr>
            </w:pPr>
          </w:p>
        </w:tc>
      </w:tr>
      <w:tr>
        <w:trPr>
          <w:trHeight w:val="223"/>
        </w:trPr>
        <w:tc>
          <w:tcPr>
            <w:tcW w:w="3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106,619</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-453390</wp:posOffset>
            </wp:positionV>
            <wp:extent cx="6429375"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-162560</wp:posOffset>
            </wp:positionV>
            <wp:extent cx="6429375"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-864870</wp:posOffset>
            </wp:positionV>
            <wp:extent cx="6429375" cy="2743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2937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p>
      <w:pPr>
        <w:jc w:val="center"/>
        <w:ind w:right="500"/>
        <w:spacing w:after="0" w:line="229" w:lineRule="auto"/>
        <w:rPr>
          <w:sz w:val="20"/>
          <w:szCs w:val="20"/>
          <w:color w:val="auto"/>
        </w:rPr>
      </w:pPr>
      <w:r>
        <w:rPr>
          <w:rFonts w:ascii="Times New Roman" w:cs="Times New Roman" w:eastAsia="Times New Roman" w:hAnsi="Times New Roman"/>
          <w:sz w:val="14"/>
          <w:szCs w:val="14"/>
          <w:b w:val="1"/>
          <w:bCs w:val="1"/>
          <w:color w:val="auto"/>
        </w:rPr>
        <w:t>Unobservable</w:t>
      </w:r>
    </w:p>
    <w:p>
      <w:pPr>
        <w:jc w:val="center"/>
        <w:ind w:right="500"/>
        <w:spacing w:after="0" w:line="221" w:lineRule="auto"/>
        <w:rPr>
          <w:sz w:val="20"/>
          <w:szCs w:val="20"/>
          <w:color w:val="auto"/>
        </w:rPr>
      </w:pPr>
      <w:r>
        <w:rPr>
          <w:rFonts w:ascii="Times New Roman" w:cs="Times New Roman" w:eastAsia="Times New Roman" w:hAnsi="Times New Roman"/>
          <w:sz w:val="14"/>
          <w:szCs w:val="14"/>
          <w:b w:val="1"/>
          <w:bCs w:val="1"/>
          <w:color w:val="auto"/>
        </w:rPr>
        <w:t>Inputs</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3)</w:t>
      </w:r>
    </w:p>
    <w:p>
      <w:pPr>
        <w:spacing w:after="0" w:line="192" w:lineRule="exact"/>
        <w:rPr>
          <w:sz w:val="20"/>
          <w:szCs w:val="20"/>
          <w:color w:val="auto"/>
        </w:rPr>
      </w:pPr>
    </w:p>
    <w:p>
      <w:pPr>
        <w:ind w:left="580" w:hanging="578"/>
        <w:spacing w:after="0"/>
        <w:tabs>
          <w:tab w:leader="none" w:pos="5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397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ind w:left="580" w:hanging="578"/>
        <w:spacing w:after="0"/>
        <w:tabs>
          <w:tab w:leader="none" w:pos="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5397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53975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3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p>
      <w:pPr>
        <w:jc w:val="center"/>
        <w:ind w:right="500"/>
        <w:spacing w:after="0" w:line="229" w:lineRule="auto"/>
        <w:rPr>
          <w:sz w:val="20"/>
          <w:szCs w:val="20"/>
          <w:color w:val="auto"/>
        </w:rPr>
      </w:pPr>
      <w:r>
        <w:rPr>
          <w:rFonts w:ascii="Times New Roman" w:cs="Times New Roman" w:eastAsia="Times New Roman" w:hAnsi="Times New Roman"/>
          <w:sz w:val="14"/>
          <w:szCs w:val="14"/>
          <w:b w:val="1"/>
          <w:bCs w:val="1"/>
          <w:color w:val="auto"/>
        </w:rPr>
        <w:t>Unobservable</w:t>
      </w:r>
    </w:p>
    <w:p>
      <w:pPr>
        <w:jc w:val="center"/>
        <w:ind w:right="500"/>
        <w:spacing w:after="0" w:line="221" w:lineRule="auto"/>
        <w:rPr>
          <w:sz w:val="20"/>
          <w:szCs w:val="20"/>
          <w:color w:val="auto"/>
        </w:rPr>
      </w:pPr>
      <w:r>
        <w:rPr>
          <w:rFonts w:ascii="Times New Roman" w:cs="Times New Roman" w:eastAsia="Times New Roman" w:hAnsi="Times New Roman"/>
          <w:sz w:val="14"/>
          <w:szCs w:val="14"/>
          <w:b w:val="1"/>
          <w:bCs w:val="1"/>
          <w:color w:val="auto"/>
        </w:rPr>
        <w:t>Inputs</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3)</w:t>
      </w:r>
    </w:p>
    <w:p>
      <w:pPr>
        <w:spacing w:after="0" w:line="192" w:lineRule="exact"/>
        <w:rPr>
          <w:sz w:val="20"/>
          <w:szCs w:val="20"/>
          <w:color w:val="auto"/>
        </w:rPr>
      </w:pPr>
    </w:p>
    <w:p>
      <w:pPr>
        <w:ind w:left="580" w:hanging="578"/>
        <w:spacing w:after="0"/>
        <w:tabs>
          <w:tab w:leader="none" w:pos="5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397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ind w:left="580" w:hanging="578"/>
        <w:spacing w:after="0"/>
        <w:tabs>
          <w:tab w:leader="none" w:pos="5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5397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5397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9060" w:space="720"/>
            <w:col w:w="1360"/>
          </w:cols>
          <w:pgMar w:left="320" w:top="482" w:right="439" w:bottom="1440" w:gutter="0" w:footer="0" w:header="0"/>
          <w:type w:val="continuous"/>
        </w:sectPr>
      </w:pPr>
    </w:p>
    <w:p>
      <w:pPr>
        <w:spacing w:after="0" w:line="1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There were no liabilities measured at fair value on a recurring basis as of December 31, 2022 or 2021. However, as outlined further within Note 10, “Preferred Stock”, the Company sold 20,424,108 shares of Series A Preferred Stock in June and July 2020 pursuant to a Series A Preferred Stock Purchase Agreement (the “Series A Agreement”). Included in the terms of the Series A Agreement was a right (the “Series A Tranche Right”) that was initially accounted for as a liability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measured at fair value at each reporting period.</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July 2021, the holders of the Series A Preferred Stock elected to waive the milestone conditions outlined further within Note 10, “Preferred Stock”, and exercise the Series A Tranche Right. Accordingly, the holders purchased 20,424,108 additional shares of Series A Preferred Stock at a price of $2.24 per share. As a result, the preferred stock tranche liability was measured at fair value contemporaneously with the exercise of the Series A Tranche Right. The Company utilized the market-adjusted equity method and the option-pricing method to determine the fair value of the Series A Preferred Stock being purchased under the Series A Tranche Right. Based upon this valuation, the Company determined that a preferred stock tranche asset existed in the amount of $2.5 million due to the fair value of the Series A Preferred Stock being $2.12 per share, an amount less than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40"/>
          </w:cols>
          <w:pgMar w:left="320" w:top="482" w:right="439" w:bottom="1440" w:gutter="0" w:footer="0" w:header="0"/>
          <w:type w:val="continuous"/>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contractual purchase price. As a result of the change in the fair value of the preferred stock tranche asset, the Company recognized a $13.5 million gain in the consolidated statements of operations and comprehensive loss for the year ended December 31, 2021. The preferred stock tranche asset was then extinguished in conjunction with the issuance of the related Series A Preferred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a reconciliation of the preferred stock tranche liability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 Liability</w:t>
            </w: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upon exercise of Series A Tranche Right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13,505</w:t>
            </w: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to Series A Preferred Stock upon extinguishment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(2,451)</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estimates outlined above were based, in part, on subjective assumptions. Changes to these assumptions could have had a significant impact on the reported fair values of the preferred stock tranche liability and/or the preferred stock tranche asset.</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valuation techniques, nor were there any transfers among the fair value hierarchy levels during the years ended December 31, 2022 or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 and short-term investments as of December 31, 2022 were comprised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6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$ 33,819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 and short-term investments as of December 31, 2021 were comprised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8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12,085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106,626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106,619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and 2021, the aggregate fair value of securities that were in an unrealized loss position for less than twelve months was</w:t>
      </w:r>
    </w:p>
    <w:p>
      <w:pPr>
        <w:spacing w:after="0" w:line="27"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$4.0 million and $12.1 million, respectively. As of December 31, 2022 and 2021 the Company held no securities that were in an unrealized loss position for more than twelve months. As of December 31, 2022, the Company did not intend to sell, and would not be more likely than not required to sell,</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80"/>
          </w:cols>
          <w:pgMar w:left="320" w:top="482" w:right="4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securities in an unrealized loss position before recovery of their amortized cost bases. Furthermore, the Company determined that there was no material change in the credit risk of these securities. As a result, the Company determined it did not hold any securities with any other-than-temporary impairment as of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maintained current restricted cash of $0.6 million and non-current restricted cash of $4.5 million. As of December 31, 2021, the Company maintained non-current restricted cash of $0.6 million. Such current amounts are included within “Prepaid expenses and other current assets” and such non-current amounts are included within “Other non-current assets” in the consolidated balance sheets. All restricted cash amounts are comprised solely of letters of credit required pursuant to the Company’s facility leases.</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of December 31, 2022 and 2021 that sums to the total of the same amounts shown in the consolidated statements of cash flows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$ 36,333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$ 83,492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r>
      <w:tr>
        <w:trPr>
          <w:trHeight w:val="27"/>
        </w:trPr>
        <w:tc>
          <w:tcPr>
            <w:tcW w:w="4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41,477</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$ 84,044</w:t>
            </w:r>
          </w:p>
        </w:tc>
      </w:tr>
      <w:tr>
        <w:trPr>
          <w:trHeight w:val="20"/>
        </w:trPr>
        <w:tc>
          <w:tcPr>
            <w:tcW w:w="4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as of December 31, 2022 and 2021 was comprised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4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140" w:type="dxa"/>
            <w:vAlign w:val="bottom"/>
          </w:tcPr>
          <w:p>
            <w:pPr>
              <w:spacing w:after="0"/>
              <w:rPr>
                <w:sz w:val="12"/>
                <w:szCs w:val="12"/>
                <w:color w:val="auto"/>
              </w:rPr>
            </w:pPr>
          </w:p>
        </w:tc>
        <w:tc>
          <w:tcPr>
            <w:tcW w:w="41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Years)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209"/>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Shorter of useful life or remaining lease term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6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shd w:val="clear" w:color="auto" w:fill="CCEEFF"/>
          </w:tcPr>
          <w:p>
            <w:pPr>
              <w:spacing w:after="0"/>
              <w:rPr>
                <w:sz w:val="18"/>
                <w:szCs w:val="18"/>
                <w:color w:val="auto"/>
              </w:rPr>
            </w:pPr>
          </w:p>
        </w:tc>
      </w:tr>
      <w:tr>
        <w:trPr>
          <w:trHeight w:val="205"/>
        </w:trPr>
        <w:tc>
          <w:tcPr>
            <w:tcW w:w="314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3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w:t>
            </w:r>
          </w:p>
        </w:tc>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60" w:type="dxa"/>
            <w:vAlign w:val="bottom"/>
          </w:tcPr>
          <w:p>
            <w:pPr>
              <w:spacing w:after="0"/>
              <w:rPr>
                <w:sz w:val="20"/>
                <w:szCs w:val="20"/>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w:t>
            </w:r>
          </w:p>
        </w:tc>
      </w:tr>
      <w:tr>
        <w:trPr>
          <w:trHeight w:val="223"/>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6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construction in progress of $2.0 million, predominately related to laboratory equipment received but not yet installed and capitalizable costs related to the Company’s future corporate headquarters.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82"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$2.5 million and $1.6 million,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as of December 31, 2022 and 2021 were comprised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bonus</w:t>
            </w:r>
          </w:p>
        </w:tc>
        <w:tc>
          <w:tcPr>
            <w:tcW w:w="1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employee compensation and benefits</w:t>
            </w:r>
          </w:p>
        </w:tc>
        <w:tc>
          <w:tcPr>
            <w:tcW w:w="2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services</w:t>
            </w:r>
          </w:p>
        </w:tc>
        <w:tc>
          <w:tcPr>
            <w:tcW w:w="2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7"/>
        </w:trPr>
        <w:tc>
          <w:tcPr>
            <w:tcW w:w="5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3,175</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3,221</w:t>
            </w:r>
          </w:p>
        </w:tc>
      </w:tr>
      <w:tr>
        <w:trPr>
          <w:trHeight w:val="20"/>
        </w:trPr>
        <w:tc>
          <w:tcPr>
            <w:tcW w:w="5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SVB Agreement</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January 2021, the Company and Silicon Valley Bank (“SVB”) entered into a Loan and Security Agreement (the “SVB Agreement”). Under the original terms of the SVB Agreement, the Company had the ability to borrow up to $15.0 million at any time prior to December 31, 2021. The SVB Agreement was subsequently amended in December 2021 to extend this borrowing availability period through December 31, 2022. The Company did not borrow any amounts under the SVB Agreement prior to the expiry of the borrowing availability period.</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conjunction with the execution of the SVB Agreement, the Company issued SVB a warrant to purchase 162,000 shares of common stock at an exercise price of $0.58 per share. This warrant was exercisable immediately upon issuance and expires on January 21, 2031. The Company determined that this warrant represents a debt issuance cost associated with the overall credit facility. As such, the warrant was recorded as a deferred financing cost and as a component of additional paid-in capital on the consolidated balance sheets. This deferred financing cost, as well as others incurred in conjunction with the execution of the SVB Agreement were amortized from the date of issuance through December 31, 2022, the expiry of the SVB Agreement’s borrowing availability period.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determine the fair value of the warrant upon issuance, the Company utilized the Black-Scholes option-pricing model with the following assumptions: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20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r>
    </w:tbl>
    <w:p>
      <w:pPr>
        <w:spacing w:after="0" w:line="17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Based upon these assumptions, the fair value of the warrant issued to SVB was determined to be less than $0.1 million. As of December 31, 2022, the warrant had not been exercised by SVB.</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was authorized to issue 115,838,000 shares of common stock. Holders of common stock are entitled to one vote per share. In addition, holders of common stock are entitled to receive dividends, if and when declared by the Company’s Board of Directors. As of December 31, 2022, no dividends had been declared.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82" w:right="45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and 2021, the Company had reserved for future issuance the following number of shares of common stock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Seed Preferred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A Preferred Stock</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B-1 Preferred Stock</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B-2 Preferred Stock</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4,496</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of Series B-2 Preferred Stock</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16,367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16,367</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common stock</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of outstanding stock options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outstanding warrant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under 2019 Stock Incentive Plan</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4,361</w:t>
            </w: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reserved for future issuance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111,047</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Seed 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May 2019, the Company entered into a Series Seed Stock Purchase Agreement (the “Series Seed 1 and 2 Agreement”). Under this Series Seed 1 and 2 Agreement, the Company sold an aggregate of 4,000,000 shares of Series Seed Preferred Stock at a price of $1.00 per share. In addition, the Company was previously party to a Simple Agreement for Future Equity (the “SAFE”) with Atlas Venture Fund XI, L.P. (“Atlas”) whereby the Company received $2.0 million in exchange for granting Atlas the right to participate in a future equity financing. In conjunction with the execution of the Series Seed 1 and 2 Agreement, the SAFE converted into 2,000,000 additional shares of Series Seed Preferred Stock. Subsequently, the Company entered into a Series Seed 3 Preferred Stock Purchase Agreement (the “Series Seed 3 Agreement”) in August 2019 under which it sold 7,780,769 additional shares of Series Seed Preferred Stock at a price of $1.30 per share.</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Under the Series Seed 1 and 2 Agreement and the Series Seed 3 Agreement, the Company received aggregate net cash proceeds of $13.9 million, after deducting offering expenses paid by the Company.</w:t>
      </w:r>
    </w:p>
    <w:p>
      <w:pPr>
        <w:spacing w:after="0" w:line="162"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Company assessed the terms and features of the Series Seed Preferred Stock and concluded that it should be classified outside of permanent equity in the consolidated balance sheets, as the Series Seed Preferred Stock is contingently redeemable upon the occurrence of a deemed liquidation event that is outside of the Company’s control. Accordingly, the Company has classified the Series Seed Preferred Stock within temporary equity in the consolidated balance sheets. As of December 31, 2022, the Series Seed Preferred Stock is not being accreted to redemption as a deemed liquidation event is not considered to be probable. Further information on the rights, preferences and privileges of the Series Seed Preferred Stock is outlined below.</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June 2020, the Company entered into the Series A Agreement. Under the Series A Agreement, the Company sold 18,191,965 shares at an initial closing in June 2020 and 2,232,143 shares at an additional closing in July 2020, both at a price of $2.24 per share. The Company received aggregate net cash proceeds of $45.5 million from these sales, after deducting offering expenses paid by the Company.</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outlined within Note 3, “Fair Value Measurements”, the Series A Agreement also included the Series A Tranche Right whereby investors would be obligated to purchase, and the Company obligated to sell, an additional 20,424,108 shares of Series A Preferred Stock at $2.24 per share upon the achievement of certain research and development milestones prior to December 31, 2021 (the “Series A Milestone Closing”). Investors could also elect to waive the conditions of the Series A Milestone Closing and purchase their allotment of additional shares at any time prior to the Series A Milestone Closing.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00"/>
          </w:cols>
          <w:pgMar w:left="320" w:top="482" w:right="4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 assessed the terms and features of the Series A Preferred Stock and concluded that it should be classified outside of permanent equity in the consolidated balance sheets, as the Series A Preferred Stock is contingently redeemable upon the occurrence of a deemed liquidation event that is outside of the Company’s control. Accordingly, the Company has classified the Series A Preferred Stock within temporary equity in the consolidated balance sheets. As of December 31, 2022, the Series A Preferred Stock is not being accreted to redemption as a deemed liquidation event is not considered to be probable. Further information on the rights, preferences and privileges of the Series A Preferred Stock is outlined below.</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also assessed the Series A Tranche Right and concluded that it met the definition of a freestanding financial instrument as it was both legally detachable and separately exercisable from the Series A Preferred Stock. In accordance with ASC 480, the Series A Tranche Right was initially classified as a liability in the consolidated balance sheet because the underlying Series A Preferred Stock is contingently redeemable upon the occurrence of a deemed liquidation event that is outside of the Company’s control.</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first allocated the Series A Preferred Stock proceeds to the Series A Tranche Right based upon its fair value at the date of issuance, and the remaining proceeds were allocated to the Series A Preferred Stock. The fair value of the Series A Tranche Right on the date of issuance was determined to be $11.1 million using a probability-weighted present value model that considered the probability of triggering the Series A Tranche Right through the achievement of the certain research and development milestones outlined in the Series A Agreement. The Company converted the future values to their present values using a discount rate it considered to be appropriate for probability-adjusted cash flows. As the Series A Tranche Right was classified as a liability, it was subsequently re-measured at fair value at each reporting period.</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July 2021, the holders of the Series A Preferred Stock elected to waive the conditions of the Series A Milestone Closing and exercise the Series A Tranche Right. Accordingly, the holders purchased 20,424,108 additional shares of Series A Preferred Stock at a price of $2.24 per share. The Company received aggregate net cash proceeds of $45.7 million from this sale, after deducting offering expenses paid by the Company.</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 detailed further within Note 3, “Fair Value Measurements”, the preferred stock tranche liability was measured at fair value contemporaneously with the exercise of the Series A Tranche Right. Based upon this valuation, the Company determined that a preferred stock tranche asset existed due to the fair value of the Series A Preferred Stock being $2.12, an amount less than the contractual purchase price. As a result of the change in the fair value of the preferred stock tranche asset, the Company recognized a $13.5 million gain in the consolidated statements of operations and comprehensive loss for the year ended December 31, 2021. The preferred stock tranche asset was then extinguished in conjunction with the issuance of the related Series A Preferred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November 2021, the Company entered into the Series B Preferred Stock Purchase Agreement (the “Series B Agreement”). Under the Series B Agreement, the Company initially sold 17,289,273 shares of Series B-1 Preferred Stock at a price of $2.61 per share. The Series B Agreement also contemplates the issuance of Series B-2 Preferred Stock, as outlined further below. The Series B-1 Preferred Stock and the Series B-2 Preferred Stock are collectively referred to as the “Series B Preferred Stock” unless specifically noted.</w:t>
      </w:r>
    </w:p>
    <w:p>
      <w:pPr>
        <w:spacing w:after="0" w:line="180"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The Series B Agreement also includes a right (the “Series B Tranche Right”) whereby investors would be obligated to purchase, and the Company obligated to sell, 16,232,013 shares of Series B-2 Preferred Stock at $2.78 per share upon the achievement of a certain research and development milestone (the “Series B Milestone Closing”). Investors can also elect to waive the conditions of the Series B Milestone Closing and purchase their allotment of Series B-2 Preferred Stock at any time prior to the Series B Milestone Closing.</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December 2021, the Company subsequently amended the Series B Agreement (the “Series B Agreement Amendment”) to include two additional investors. Under the Series B Agreement Amendment,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20"/>
          </w:cols>
          <w:pgMar w:left="320" w:top="482" w:right="4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89" w:lineRule="auto"/>
        <w:rPr>
          <w:sz w:val="20"/>
          <w:szCs w:val="20"/>
          <w:color w:val="auto"/>
        </w:rPr>
      </w:pPr>
      <w:r>
        <w:rPr>
          <w:rFonts w:ascii="Times New Roman" w:cs="Times New Roman" w:eastAsia="Times New Roman" w:hAnsi="Times New Roman"/>
          <w:sz w:val="17"/>
          <w:szCs w:val="17"/>
          <w:color w:val="auto"/>
        </w:rPr>
        <w:t>sold an additional 4,932,950 shares of Series B-1 Preferred Stock at a price of $2.61 per share. Additionally, one investor elected to waive the conditions of the Series B Milestone Closing and purchase 4,496,403 shares of Series B-2 Preferred Stock at a price of $2.78 per share. The other investor included in the Series B Agreement Amendment maintains the Series B Tranche Right to purchase 134,892 shares of Series B-2 Preferred Stock.</w:t>
      </w:r>
    </w:p>
    <w:p>
      <w:pPr>
        <w:spacing w:after="0" w:line="15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total, the Company received aggregate net cash proceeds of $57.7 million from the sale of Series B-1 Preferred Stock and $12.5 million from the sale of Series B-2 Preferred Stock, after deducting offering expenses paid by the Company.</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Company assessed the terms and features of the Series B Preferred Stock and concluded that it should be classified outside of permanent equity in the consolidated balance sheets, as the Series B Preferred Stock is contingently redeemable upon the occurrence of a deemed liquidation event that is outside of the Company’s control. Accordingly, the Company has classified the Series B Preferred Stock within temporary equity in the consolidated balance sheets. As of December 31, 2022, the Series B Preferred Stock is not being accreted to redemption as a deemed liquidation event is not considered to be probable. Further information on the rights, preferences and privileges of the Series B Preferred Stock is outlined below.</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Company also assessed the Series B Tranche Right and concluded that, while separately exercisable, it is not legally detachable from the Series B Preferred Stock. Accordingly, the Company concluded that the Series B Tranche Right does not meet the definition of a freestanding financial instrument and is instead an embedded feature of the Series B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Privileges of Preferred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rights, preferences and privileges of the Series Seed Preferred Stock, the Series A Preferred Stock, the Series B-1 Preferred Stock and the Series B-2 Preferred Stock are as follows. In the discussion below, the Series Seed Preferred Stock and the Series A Preferred Stock, Series B-1 Preferred Stock and the Series B-2 Preferred Stock are collectively referred to as the “Preferred Stock” unless specifically noted.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issuance price by the conversion price in effect at the time of conversion. The original conversion price of the Series Seed 1 Preferred Stock and Series Seed 2 Preferred Stock is $1.00, the original conversion price of the Series Seed 3 Preferred Stock is $1.30, the original conversion price of the Series A Preferred Stock is $2.24, the original conversion price of the Series B-1 Preferred Stock is $2.61 and the original conversion price of the Series B-2 Preferred Stock is $2.78. Shares of preferred stock are subject to adjustments to reflect the issuance of common stock, options, warrants, or other rights to subscribe for or to purchase common stock for a consideration per share, less than the conversion price then in effect and subsequent stock dividends, stock splits, combinations, or recapitalizations.</w:t>
      </w:r>
    </w:p>
    <w:p>
      <w:pPr>
        <w:spacing w:after="0" w:line="19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Preferred Stock is subject to mandatory conversion upon the closing of a sale of common stock to the public at a price of at least $5.56 per share (subject to appropriate adjustment in the event of a stock dividend, stock split, combination or other similar recapitalization) in a firm-commitment underwritten public offering resulting in at least $75.0 million of gross proceeds to the Company. The Preferred Stock is also subject to mandatory conversion upon the vote or written consent of the holders of at least 66% of the then-outstanding shares of Preferred Stock, voting as a single class on an as-converted to common stock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holders of Preferred Stock, in preference to common stockholders, are entitled to receive, when, as and if declared by the Company’s Board of Directors, dividends at a rate of 8% annually. Dividends on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40"/>
          </w:cols>
          <w:pgMar w:left="320" w:top="482" w:right="4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are non-cumulative and are payable only when and if declared by the Company’s Board of Directors. The holders of Preferred Stock are entitled to participate in dividends on common stock on an as-converted basis when and if declared by the Company’s Board of Directors. Since the Company’s inception, no dividends have been declared.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winding up or deemed liquidation event of the Company, the holders of shares of Preferred Stock then outstanding shall be entitled to be paid out of the assets of the Company available for distribution to its stockholders before any payment shall be made to the holders of common stock, an amount equal to the original issue price per share plus any dividends declared but unpaid thereon. For clarity, the original issue price of the Series Seed 1 Preferred Stock and Series Seed 2 Preferred Stock was $1.00 per share, the original issue price of the Series Seed 3 Preferred Stock was $1.30 per share, the original issue price of the Series A Preferred Stock was $2.24 per share, the original issue price of the Series B-1 Preferred Stock was $2.61 per share and the original issue price of the Series B-2 Preferred Stock was $2.78 per share.</w:t>
      </w:r>
    </w:p>
    <w:p>
      <w:pPr>
        <w:spacing w:after="0" w:line="18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If upon any voluntary or involuntary liquidation, dissolution, winding up or deemed liquidation event of the Company, the assets of the Company available for distribution are insufficient to pay the holders of Preferred Stock the full amount to which they are entitled, the holders of shares of Preferred Stock shall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Preferred Stock is contingently redeemable upon the occurrence of a deemed liquidation event, which includes a merger or a sale of substantially all of the assets of the Company. As of December 31, 2022, a deemed liquidation event is not considered to be probable.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holders of Preferred Stock are entitled to vote based on the number of common shares that their preferred shares convert into on as-converted basis at the time of such vote. Except in specific circumstances, holders of Preferred Stock shall vote as a single class with the common stockholders.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record of the shares of the Series Seed Preferred Stock, voting exclusively and as a separate class on an as-converted to common stock basis, are entitled to elect two members to the Company’s Board of Directors. The holders of record of the shares of the Series A Preferred Stock, voting exclusively and as a separate class on an as-converted to common stock basis, are entitled to elect two members to the Company’s Board of Directors. The holders of record of the shares of the Series B Preferred Stock, voting exclusively and as a separate class on an as-converted to common stock basis, are entitled to elect two members to the Company’s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January 2019, the Company’s Board of Directors adopted the 2019 Stock Incentive Plan (the “2019 Plan”). The 2019 Plan provides for the grant of stock options, stock awards and restricted stock units to employees, members of the Company’s Board of Directors and non-employee consultants and advisors. The 2019 Plan initially provided for the issuance of up to 2,219,565 shares of common stock. The 2019 Plan was subsequently amended in May 2019, June 2020, October 2020, April 2021 and November 2021 to modify the number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82"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shares of common stock issuable under the 2019 Plan. Subsequent to the November 2021 amendment to the 2019 Plan, the Company can now issue up to 13,748,930 shares of common stock under the 2019 Plan. As of December 31, 2022, there were 3,217,888 shares available for future issuance under the 2019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consolidated statements of operations and comprehensive loss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and 2021 was as follows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tcPr>
          <w:p>
            <w:pPr>
              <w:spacing w:after="0"/>
              <w:rPr>
                <w:sz w:val="19"/>
                <w:szCs w:val="19"/>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w:t>
            </w:r>
          </w:p>
        </w:tc>
      </w:tr>
      <w:tr>
        <w:trPr>
          <w:trHeight w:val="20"/>
        </w:trPr>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 Activity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Prior to the adoption of the 2019 Plan, the Company issued shares of restricted common stock to its founders as well as to certain employees. The restrictions on the common stock generally lapse over two to four years. In the event that a recipient ceases to provide service to the Company, the Company has the right to repurchase any unvested shares of restricted common stock at their original purchase price. As a result of this repurchase right, the Company recorded the issuance of such restricted common stock as a liability in the consolidated balance sheets. Amounts are reclassified to common stock at par and additional paid-in capital as the restricted common stock vests and restrictions lapse.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restricted common stock activity during the year ended December 31, 2022 (in thousands, except per share amounts):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1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1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5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(430)</w:t>
            </w: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common stock that vested during the years ended December 31, 2022 and 2021, based upon the fair value of the underlying restricted common stock on the day of vesting, was $0.5 million and $0.3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years ended December 31, 2022 and 2021 was calculated on the date of grant using the following weighted-average assumptions: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3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90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4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72.9%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346"/>
        </w:trPr>
        <w:tc>
          <w:tcPr>
            <w:tcW w:w="2900" w:type="dxa"/>
            <w:vAlign w:val="bottom"/>
          </w:tcPr>
          <w:p>
            <w:pPr>
              <w:spacing w:after="0"/>
              <w:rPr>
                <w:sz w:val="24"/>
                <w:szCs w:val="24"/>
                <w:color w:val="auto"/>
              </w:rPr>
            </w:pPr>
          </w:p>
        </w:tc>
        <w:tc>
          <w:tcPr>
            <w:tcW w:w="464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F-89</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grant date fair value of stock options granted during the years ended December 31, 2022 and 2021 was $0.73 and $0.41 per share,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changes in stock option activity during the year ended December 31, 2022 (in thousands, except per share amounts):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5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3,156</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1.11</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0.36</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0.73</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0.74</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960" w:type="dxa"/>
            <w:vAlign w:val="bottom"/>
            <w:gridSpan w:val="2"/>
          </w:tcPr>
          <w:p>
            <w:pPr>
              <w:spacing w:after="0" w:line="20" w:lineRule="exact"/>
              <w:rPr>
                <w:sz w:val="1"/>
                <w:szCs w:val="1"/>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0.60</w:t>
            </w:r>
          </w:p>
        </w:tc>
        <w:tc>
          <w:tcPr>
            <w:tcW w:w="15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line="20" w:lineRule="exact"/>
              <w:rPr>
                <w:sz w:val="1"/>
                <w:szCs w:val="1"/>
                <w:color w:val="auto"/>
              </w:rPr>
            </w:pPr>
          </w:p>
        </w:tc>
      </w:tr>
      <w:tr>
        <w:trPr>
          <w:trHeight w:val="215"/>
        </w:trPr>
        <w:tc>
          <w:tcPr>
            <w:tcW w:w="3980" w:type="dxa"/>
            <w:vAlign w:val="bottom"/>
            <w:gridSpan w:val="2"/>
            <w:vMerge w:val="continue"/>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2022 and 2021 was $0.1 million and $0.2 million, respectively.</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unrecognized stock-based compensation expense related to unvested stock options of $2.5 million, which the Company expects to recognize over a weighted-average period of approximately 2.7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2022 and 2021 was comprised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54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3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taxes:</w:t>
            </w:r>
          </w:p>
        </w:tc>
        <w:tc>
          <w:tcPr>
            <w:tcW w:w="2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taxes</w:t>
            </w:r>
          </w:p>
        </w:tc>
        <w:tc>
          <w:tcPr>
            <w:tcW w:w="2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19"/>
                <w:szCs w:val="19"/>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taxes</w:t>
            </w:r>
          </w:p>
        </w:tc>
        <w:tc>
          <w:tcPr>
            <w:tcW w:w="2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270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F-90</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tax rate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09"/>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principal components of the Company’s deferred tax assets and liabilities as of December 31, 2022 and 2021 were comprised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19,580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14,481</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temporary differences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37,217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(36,094)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(17,091)</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federal and state net operating loss (“NOL”) carryforwards of $72.1 million and $70.3 million, respectively. Federal NOLs may be carried forward indefinitely. State NOLs expire at various dates from 2038 through 2042. As of December 31, 2022, the Company had federal research and development tax credit carryforwards of $3.5 million that expire at various dates from 2040 through 2042. In addition, as of December 31, 2022, the Company had state research and development tax credit carryforwards of $2.6 million that expire at various dates from 2034 through 2037.</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which primarily pertain to NOL carryforwards, tax credit carryforwards and capitalized research and development. The Company has determined that it is more likely than not that it will not realize the benefits of its deferred tax assets, and as a result, a valuation allowance of $36.1 million has been established at December 31, 2022. The increase in the valuation allowance of $19.0 million during the year ended December 31, 2022 was primarily due to the additional operating loss generated by the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82"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NOL and tax credit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Internal Revenue Code (“IRC”). This could limit the amount of tax attributes that can be utilized annually to offset future taxable income or tax liabilities. The amount of the annual limitation is determined based on the Company’s value immediately prior to the ownership change. As a result of ownership changes in the Company from its inception through December 31, 2022, the Company’s NOL and tax credit carryforwards allocable to the periods preceding each such ownership change could be subject to limitations under IRC Section 382, however the Company has not yet completed an IRC Section 382 study.</w:t>
      </w:r>
    </w:p>
    <w:p>
      <w:pPr>
        <w:spacing w:after="0" w:line="18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 had no unrecognized tax benefits as of either December 31, 2022 or 2021. The Company has not conducted a study of its research and development credit carryforwards generated during any year. This study, once completed, may result in an adjustment to the Company’s research and development credit carryforwards.</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However, until a study is completed and any adjustment is known, no amounts are being presented as an uncertain tax position. A full valuation allowance has been provided against the Company’s research and development credit carryforwards, and if an adjustment is required, this adjustment would be offset by an adjustment to the valuation allowance. Thus, there would be no impact to the consolidated statements of operations and comprehensive loss if an adjustment were required.</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tax jurisdiction and the Massachusetts state tax jurisdiction. Because the Company is in a loss carryforward position, it is generally subject to examination by federal and state tax authorities for all tax years in which a loss carryforward is available.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the Company has not incurred any material interest or penalty charges.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790 Memorial Drive Lease</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In May 2020, the Company entered into an operating lease agreement (“the 790 Memorial Drive Lease”) to occupy 3,407 square feet of laboratory and office space at 790 Memorial Drive in Cambridge, Massachusetts. The 790 Memorial Drive Lease term commenced on June 15, 2020 and subsequently expired on June 30, 2021. Pursuant to ASC 840, the Company recorded total rent expense of $0.1 million for the year ended December 31, 2021 related to the 790 Memorial Drive Lease.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OKS Building 600/700 Lease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August 2020, the Company entered into an operating lease agreement (the “OKS Building 600/700 Lease”) to occupy 12,165 square feet of laboratory and office space at One Kendall Square in Cambridge, Massachusetts (the “OKS Facility”). The OKS Building 600/700 Lease term commenced on January 21, 2021 and was originally set to expire on January 31, 2024. The Company provided the landlord with a security deposit in the form of a $0.3 million letter of credit, which was originally recorded as restricted cash and included within “Other non-current assets” as of December 31, 2021.</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OKS Building 600/700 Lease also provided the Company with a tenant improvement allowance of $2.4 million, the entirety of which was utilized as of December 31, 2021. Leasehold improvements related to the OKS Building 600/700 Lease were originally being amortized over the lease term, commencing with the date that the leasehold improvements were placed into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OKS Sublease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October 2021, the Company entered into an operating sublease agreement (the “OKS Sublease”) with an unrelated biotechnology company to occupy an additional 5,094 square feet of laboratory and office space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82"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OKS Facility. The OKS Sublease term commenced on October 25, 2021 and was originally set to expire on March 31, 2023, unless the sublessor notified the Company in writing by July 1, 2022 that it wished to extend the sublease term through December 31, 2024. The Company provided the sublessor with a security deposit in the form of a $0.2 million letter of credit, which was originally recorded as restricted cash and included within “Other non-current assets” as of December 31,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OKS Sublease Extension and OKS Combined Facility Lease</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May 2022, the sublessor of the OKS Sublease provided the lease extension notification to the Company. As a result of this election, commencing on June 1, 2022, the Company was required to take control over an additional 5,302 square feet for a total occupancy of 10,396 square feet.</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August 2022, however, the Company entered into an amended lease agreement (the “OKS Combined Facility Lease”) with the landlord of the OKS Facility, the primary effects of which were the following:</w:t>
      </w:r>
    </w:p>
    <w:p>
      <w:pPr>
        <w:spacing w:after="0" w:line="67" w:lineRule="exact"/>
        <w:rPr>
          <w:sz w:val="20"/>
          <w:szCs w:val="20"/>
          <w:color w:val="auto"/>
        </w:rPr>
      </w:pPr>
    </w:p>
    <w:p>
      <w:pPr>
        <w:ind w:left="1080" w:right="2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1, 2022, the space originally leased from the unrelated biotechnology company would now be leased directly from the OKS Facility landlord.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lease payment amounts owed by the Company were not modified from the original One Kendall Square Sublease, however the Company is now obligated to make an additional payment of $0.3 million at the conclusion of the OKS Combined Facility Lease term.</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for the entirety of the Company’s leased space at the One Kendall Square Facility was amended to expire on December 31, 2023.</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the landlord of the OKS Facility with an additional security deposit in the form of a $0.3 million letter of credit. The $0.3 million letter of credit previously issued to the sublessor of the OKS Sublease was subsequently cancelled.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under ASC 840</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the Company obtained access to the OKS Building 600/700 Lease space in August 2020, it concluded that this represented the lease commencement date for accounting purposes. Prior to the adoption of ASC 842, and pursuant to the legacy guidance within ASC 840, the Company recorded rent expense on a straight-line basis from this date through the end of the lease term and also recorded deferred rent on the consolidated balance sheets. The Company recorded the tenant improvement allowance as a deferred lease incentive and was amortizing the deferred lease incentive as a reduction of rent expense ratably over the lease term.</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the OKS Sublease, the Company similarly recorded rent expense on a straight-line basis through the full potential lease term that would expire on December 31, 2024. The full potential lease term was utilized as the lease extension provision was at the sole discretion of the sublessor. In addition, this straight-line rent expense calculation assumed that, as of April 1, 2023, the Company would occupy the entire 10,396 square feet premises contemplated by the OKS Sublease.</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As of December 31, 2021, the future minimum lease payments due under the OKS Building 600/700 Lease and the OKS Sublease were as follows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Future Minimum Lease Payments</w:t>
            </w:r>
          </w:p>
        </w:tc>
      </w:tr>
      <w:tr>
        <w:trPr>
          <w:trHeight w:val="209"/>
        </w:trPr>
        <w:tc>
          <w:tcPr>
            <w:tcW w:w="3340" w:type="dxa"/>
            <w:vAlign w:val="bottom"/>
            <w:tcBorders>
              <w:top w:val="single" w:sz="8" w:color="CCEEFF"/>
            </w:tcBorders>
            <w:shd w:val="clear" w:color="auto" w:fill="CCEEFF"/>
          </w:tcPr>
          <w:p>
            <w:pPr>
              <w:jc w:val="right"/>
              <w:ind w:right="2890"/>
              <w:spacing w:after="0"/>
              <w:rPr>
                <w:sz w:val="20"/>
                <w:szCs w:val="20"/>
                <w:color w:val="auto"/>
              </w:rPr>
            </w:pPr>
            <w:r>
              <w:rPr>
                <w:rFonts w:ascii="Times New Roman" w:cs="Times New Roman" w:eastAsia="Times New Roman" w:hAnsi="Times New Roman"/>
                <w:sz w:val="18"/>
                <w:szCs w:val="18"/>
                <w:color w:val="auto"/>
                <w:w w:val="94"/>
              </w:rPr>
              <w:t>2022</w:t>
            </w:r>
          </w:p>
        </w:tc>
        <w:tc>
          <w:tcPr>
            <w:tcW w:w="19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3"/>
              </w:rPr>
              <w:t>1,779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w w:val="94"/>
              </w:rPr>
              <w:t>2023</w:t>
            </w: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3340" w:type="dxa"/>
            <w:vAlign w:val="bottom"/>
            <w:shd w:val="clear" w:color="auto" w:fill="CCEEFF"/>
          </w:tcPr>
          <w:p>
            <w:pPr>
              <w:jc w:val="right"/>
              <w:ind w:right="2890"/>
              <w:spacing w:after="0"/>
              <w:rPr>
                <w:sz w:val="20"/>
                <w:szCs w:val="20"/>
                <w:color w:val="auto"/>
              </w:rPr>
            </w:pPr>
            <w:r>
              <w:rPr>
                <w:rFonts w:ascii="Times New Roman" w:cs="Times New Roman" w:eastAsia="Times New Roman" w:hAnsi="Times New Roman"/>
                <w:sz w:val="18"/>
                <w:szCs w:val="18"/>
                <w:color w:val="auto"/>
                <w:w w:val="94"/>
              </w:rPr>
              <w:t>2024</w:t>
            </w:r>
          </w:p>
        </w:tc>
        <w:tc>
          <w:tcPr>
            <w:tcW w:w="1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1,067</w:t>
            </w:r>
          </w:p>
        </w:tc>
      </w:tr>
      <w:tr>
        <w:trPr>
          <w:trHeight w:val="223"/>
        </w:trPr>
        <w:tc>
          <w:tcPr>
            <w:tcW w:w="3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9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3"/>
              </w:rPr>
              <w:t>5,161</w:t>
            </w:r>
          </w:p>
        </w:tc>
        <w:tc>
          <w:tcPr>
            <w:tcW w:w="6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F-93</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Pursuant to ASC 840, the Company recorded total rent expense of $0.6 million for the year ended December 31, 2021 related to the OKS Building 600/700 Lease and the OKS Sublease.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under ASC 842</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result of the adoption of ASC 842 on January 1, 2022, the Company initially recorded right-of-use assets and corresponding lease liabilities for the OKS Building 600/700 Lease and the OKS Sublease. As there was no rate implicit in either lease, the Company estimated its incremental borrowing rate based upon a synthetic credit rating and yield curve analysis. Based upon this analysis, the Company calculated a discount rate of 5.09% for both the OKS Building 600/700 Lease and the OKS Sublease as of January 1, 2022.</w:t>
      </w:r>
    </w:p>
    <w:p>
      <w:pPr>
        <w:spacing w:after="0" w:line="180"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Company then assessed the OKS Combined Facility Lease as a lease modification, concluding that the modification did not result in a separate contract pursuant to ASC 842-10-25-8. Based upon this assessment, and in accordance with ASC 842-10-25-15, the Company has accounted for the modification as a termination of the existing leases and the creation of a new operating lease. As there was no rate implicit in the OKS Combined Facility Lease, the Company again estimated its incremental borrowing rate based upon a synthetic credit rating and yield curve analysis. Based upon this analysis, the Company calculated a discount rate of 7.87% as of August 31, 2022, the effective date of the modification.</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the OKS Combined Facility Lease term ends on December 31, 2023, the Company is now amortizing the leasehold improvements originally related to the OKS Building 600/700 Lease through December 31, 2023. Additionally, the combined $0.6 million letters of credit issued to the OKS Facility landlord are classified as restricted cash and included within “Prepaid expenses and other current assets” as of December 31, 2022.</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the future minimum lease payments due under the OKS Combined Facility Lease were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24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24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Pursuant to ASC 842, the Company recorded operating lease expense of $1.4 million and variable lease expense of $0.7 million for the year ended December 31, 2022 related to the OKS Building 600/700 Lease, OKS Sublease and OKS Combined Facility Lease. As of December 31, 2022, the remaining lease term of the OKS Combined Facility Lease was 1.0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Cummings Park Sublease</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February 2022, the Company entered into an operating sublease agreement (the “Cummings Park Sublease”) to occupy 18,148 square feet of laboratory and office space at Cummings Park in Woburn, Massachusetts. The Cummings Park Sublease term commenced on February 23, 2022 and will expire on July 31, 2024. Contemporaneously with the execution of the Cummings Park Sublease, the Company provided the landlord with a cash security deposit in the amount of $0.1 million.</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Pursuant to the terms of the Cummings Park Sublease, the Company was not obligated to make rental payments until 91 days after the Cummings Park Sublease commencement date (the “Cummings Park Rent Commencement Date”). Rental payments will escalate on each successive anniversary of the Cummings Park Rent Commencement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20"/>
          </w:cols>
          <w:pgMar w:left="320" w:top="482"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the future minimum lease payments due under the Cummings Park Sublease were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minimum lease payments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1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Pursuant to ASC 842, the Company recorded operating lease expense of $0.3 million and variable lease expense of less than $0.1 million for the year ended December 31, 2022 related to the Cummings Park Sublease. As of December 31, 2022, the remaining lease term of the Cummings Park Sublease was 1.6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60 First Street Lease</w:t>
      </w:r>
    </w:p>
    <w:p>
      <w:pPr>
        <w:spacing w:after="0" w:line="121" w:lineRule="exact"/>
        <w:rPr>
          <w:sz w:val="20"/>
          <w:szCs w:val="20"/>
          <w:color w:val="auto"/>
        </w:rPr>
      </w:pPr>
    </w:p>
    <w:p>
      <w:pPr>
        <w:ind w:left="120"/>
        <w:spacing w:after="0" w:line="247" w:lineRule="auto"/>
        <w:rPr>
          <w:sz w:val="20"/>
          <w:szCs w:val="20"/>
          <w:color w:val="auto"/>
        </w:rPr>
      </w:pPr>
      <w:r>
        <w:rPr>
          <w:rFonts w:ascii="Times New Roman" w:cs="Times New Roman" w:eastAsia="Times New Roman" w:hAnsi="Times New Roman"/>
          <w:sz w:val="18"/>
          <w:szCs w:val="18"/>
          <w:color w:val="auto"/>
        </w:rPr>
        <w:t>In April 2022, the Company entered into an operating lease agreement (the “60 First Street Lease”) to occupy 50,453 square feet of laboratory and office space in Cambridge, Massachusetts (the “60 First Street Facility”). The 60 First Street Lease term will commence on the later of i) the substantial completion of the landlord’s base building improvements or ii) October 31, 2022 (such date the “60 First Street Lease Commencement Date”). Rental payments will commence 12 months following the 60 First Street Lease Commencement Date (such date the “60 First Street Rent Commencement Date”), and the 60 First Street Lease will expire on the last day of the 120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full calendar month following the 60 First Street Rent Commencement Date. Rental payments will escalate on each successive anniversary of the 60 First Street Rent Commencement Date, and the total rental payments over the term of the 60 First Street Lease are expected to be $76.7 million. In addition, the 60 First Street Lease also provides the Company with a tenant improvement allowance of $13.1 million.</w:t>
      </w:r>
    </w:p>
    <w:p>
      <w:pPr>
        <w:spacing w:after="0" w:line="19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provided the landlord with a security deposit in the form of a $4.5 million letter of credit, which has been recorded as restricted cash and included within “Other non-current assets” as of December 31, 2022. This letter of credit will be reduced to $3.4 million upon substantial completion of the Company’s tenant improvements and then to $2.3 million upon the third anniversary of the 60 First Street Lease Commencement Date.</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 of December 31, 2022, the landlord had not yet delivered the 60 First Street Facility to the Company. Accordingly, the Company concluded that the lease commencement date had not occurred and no right-of-use asset, lease liability or operating lease expense related to the 60 First Street Lease was recorded as of or for the year ended December 31, 2022. Additionally, the Company did not utilize any portion of the $13.1 million tenant improvement allowance as of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is not a party to any litigation, nor had it established any reserves for litigation liabilities as of December 31, 2022 or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401(k) Savings Plan</w:t>
      </w:r>
    </w:p>
    <w:p>
      <w:pPr>
        <w:spacing w:after="0" w:line="121"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Company has a defined-contribution savings plan under Section 401(k) of the IRC (the “401(k) Plan”). The 401(k) Plan covers all employees who meet defined minimum age and service requirements and allows participants to defer a portion of their annual compensation, subject to statutory limitations. Beginning on April 1, 2022, the Company matches 100% of an employee’s 401(k) contributions up to a maximum of 3% of the participant’s salary, subject to employer match limitations under the IRC. As such, the Company made $0.2 million of matching contributions to the 401(k) Plan during the year ended December 31, 2022. The Company did not make any matching contributions during the year ended December 31, 2021.</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20"/>
          </w:cols>
          <w:pgMar w:left="320" w:top="482"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Atlas’ ownership of the Company’s Series Seed Preferred Stock, Series A Preferred Stock and Series B Preferred Stock, Atlas represents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affiliate of the Company. During the years ended December 31, 2022 and 2021, the Company incurred expenses of less than $0.1 million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$0.1 million, respectively, related to consulting services provided by an affiliate of Atlas. As of December 31, 2021, the Company had amounts due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affiliate of $0.1 million. No such amounts were due to this affiliate as of December 31,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have been excluded from the calculation of diluted net loss per share because their effect would be anti-dilutive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Stock</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Series B-2 Preferred Stock</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4,496</w:t>
            </w: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9,280</w:t>
            </w: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90,319</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recognition and disclosure purposes through July 27, 2023, the date these consolidated financial statements were issued. Except for the matters described below, the Company has concluded that no other events or transactions have occurred that require disclosure in the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Genevant Agreement</w:t>
      </w:r>
    </w:p>
    <w:p>
      <w:pPr>
        <w:spacing w:after="0" w:line="121" w:lineRule="exact"/>
        <w:rPr>
          <w:sz w:val="20"/>
          <w:szCs w:val="20"/>
          <w:color w:val="auto"/>
        </w:rPr>
      </w:pPr>
    </w:p>
    <w:p>
      <w:pPr>
        <w:ind w:left="120" w:right="680"/>
        <w:spacing w:after="0" w:line="289" w:lineRule="auto"/>
        <w:rPr>
          <w:sz w:val="20"/>
          <w:szCs w:val="20"/>
          <w:color w:val="auto"/>
        </w:rPr>
      </w:pPr>
      <w:r>
        <w:rPr>
          <w:rFonts w:ascii="Times New Roman" w:cs="Times New Roman" w:eastAsia="Times New Roman" w:hAnsi="Times New Roman"/>
          <w:sz w:val="17"/>
          <w:szCs w:val="17"/>
          <w:color w:val="auto"/>
        </w:rPr>
        <w:t>In March 2023, the Company entered into a collaboration and license agreement (the “Genevant Agreement”) with Genevant Sciences GmbH (“Genevant”) to combine the Company’s RNA editing technology with Genevant’s lipid nanoparticle technology to develop and potentially commercialize an RNA therapeutic for alpha-1 antitrypsin deficiency. Key financial terms under the Genevant Agreement are as follows:</w:t>
      </w:r>
    </w:p>
    <w:p>
      <w:pPr>
        <w:spacing w:after="0" w:line="63" w:lineRule="exact"/>
        <w:rPr>
          <w:sz w:val="20"/>
          <w:szCs w:val="20"/>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a $2.5 million payment to Genevant in March 2023 upon execution of the Genevant Agreement.</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Genevant for certain out-of-pocket and full-time equivalent costs incurred as a result of research and development activities performed under the Genevant Agreement.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entitled to receive payments from the Company upon the achievement of specified clinical, regulatory and commercial milestones, including potential precommercial milestone payments up to an aggregate total of $40.5 million per product and potential commercial milestone payments up to an aggregate total of $57.0 million.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eligible to receive royalties at tiered percentage rates beginning in the mid-single-digits, based on future annual net sales of licensed products within the scope of the Genevant Agreement.</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paid Genevant $2.8 million through July 27, 2023, the date these consolidated financial statements were issued, and has recorded the $2.5 million nonrefundable, payment within research and development expense in the condensed consolidated statement of operations for the three months ended March 31, 2023.</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020"/>
          </w:cols>
          <w:pgMar w:left="320" w:top="482" w:right="5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of Series B-2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March 2023, the holders of the Series B Preferred Stock elected to waive the conditions of the Series B Milestone Closing and exercise the Series B Tranche Right. Accordingly, the holders purchased 16,366,905 shares of Series B-2 Preferred Stock at a price of $2.78 per share. The Company received aggregate net cash proceeds of $45.5 million from this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&amp; Pre-Closing Financing</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July 14, 2023, the Company entered into an Agreement and Plan of Merger (the “Merger Agreement”) with Frequency Therapeutics, Inc., a Delaware corporation (“Frequency”) and Frequency Merger Sub, Inc., a Delaware corporation and wholly owned subsidiary of Frequency (“Merger Sub”). Upon the terms and subject to the satisfaction of the conditions described in the Merger Agreement, Merger Sub will be merged with and into Korro Bio, Inc., with Korro Bio, Inc. surviving the Merger as a wholly owned subsidiary of Frequency (the “merger”). In contemplation of the proposed merger, the Company also entered into a subscription agreement with certain parties to purchase shares of the Company’s common stock for an aggregate purchase price of approximately $117.3 million (the “pre-closing financing”).</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immediately prior to the effective time of the merger (“Effective Time”), each then outstanding share of the Company’s common stock (including common stock issued upon the conversion of the Company’s preferred stock but excluding the common stock issued in the pre-closing financing) will be converted into the right to receive a number of shares of Frequency’s common stock calculated in accordance with the Merger Agreement.</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Company’s pre-closing financing is contingent on and will occur prior to the closing of the merger, subject to customary closing conditions. Shares of the Company’s common stock issued pursuant to the pre-closing financing will be converted into the right to receive a number of shares of Frequency common stock calculated in accordance with Merger Agreement at the Effective Time of the merger.</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merger and the pre-closing financing are expected to close in the fourth quarter of 2023. The merger is subject to approval by the stockholders of the Company and Frequency as well as other customary closing conditions, including the effectiveness of a registration statement filed with the SEC in connection with the transaction. If Frequency is unable to satisfy certain closing conditions or if other mutual closing conditions are not satisfied, the Company will not be obligated to complete the merger. The Merger Agreement contains certain termination rights of the Company and Frequency. The merger is expected to be treated as a reverse recapitalization in accordance with U.S. GAAP.</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20"/>
          </w:cols>
          <w:pgMar w:left="320" w:top="482"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3380105</wp:posOffset>
            </wp:positionV>
            <wp:extent cx="1225550" cy="2400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255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Up to 2,077,864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 2023</w:t>
      </w:r>
    </w:p>
    <w:p>
      <w:pPr>
        <w:sectPr>
          <w:pgSz w:w="11900" w:h="16838" w:orient="portrait"/>
          <w:cols w:equalWidth="0" w:num="1">
            <w:col w:w="10139"/>
          </w:cols>
          <w:pgMar w:left="320" w:top="482"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47,500</w:t>
            </w: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12,898.69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165,000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82" w:right="45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that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Merger Agreement, from the effective time of the Merger through the sixth anniversary of the date of the effective time, we agreed to indemnify and hold harmless each person who was, as of July 14, 2023, the signing date of the Merger Agreement, or had been at any time prior, or who becomes prior to the effective time of the Merger, a director or officer of our company or Legacy Korro, against all claims, losses, liabilities, damages, judgments, fines and reasonable fees, costs and expenses, including attorneys’ fees and disbursements, pertaining to claims arising out of the fact that such person was a director or officer of our company or Legacy Korro, at or prior to the effective time of the merger, to the fullest extent permitted under the DGCL.</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Merger Agreement, we agreed not to amend, modify or repeal provisions in the Charter and Bylaws that were in effect as of July 14, 2023,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9"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Shares of Legacy Korro stock have not been adjusted to reflect the exchange for our common stock in the Merger and reflect actual shares issued by Legacy Korro.</w:t>
      </w:r>
    </w:p>
    <w:p>
      <w:pPr>
        <w:spacing w:after="0" w:line="16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July 2021, Legacy Korro sold an aggregate of 20,424,108 shares of Series A Preferred Stock at a purchase price of $2.24 per share for aggregate gross proceeds of $45.8 million.</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November 2021, December 2021 and March 2023, Legacy Korro sold an aggregate of 43,085,531 shares of its Series B preferred stock at a purchase price of $2.61 and $2.78 per share for aggregate gross proceeds of $116.0 million.</w:t>
      </w:r>
    </w:p>
    <w:p>
      <w:pPr>
        <w:spacing w:after="0" w:line="162"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Merger, we entered into a Subscription Agreement in July 2023 with certain investors to consummate the Pre-Closing Financing. Pursuant to the Subscription Agreement, the investors agreed to purchase shares of Legacy Korro common stock, at a price of $2.78 per share, for aggregate gross proceeds of $117.3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82"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19"/>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tcPr>
          <w:p>
            <w:pPr>
              <w:spacing w:after="0"/>
              <w:rPr>
                <w:sz w:val="22"/>
                <w:szCs w:val="22"/>
                <w:color w:val="auto"/>
              </w:rPr>
            </w:pPr>
          </w:p>
        </w:tc>
        <w:tc>
          <w:tcPr>
            <w:tcW w:w="97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405">
              <w:r>
                <w:rPr>
                  <w:rFonts w:ascii="Times New Roman" w:cs="Times New Roman" w:eastAsia="Times New Roman" w:hAnsi="Times New Roman"/>
                  <w:sz w:val="18"/>
                  <w:szCs w:val="18"/>
                  <w:color w:val="0000EE"/>
                  <w:w w:val="99"/>
                </w:rPr>
                <w:t>Agreement and Plan of Merger and Reorganization, dated as of July 14, 2023, by and among the registrant, Frequency Merger Sub, Inc.</w:t>
              </w:r>
            </w:hyperlink>
          </w:p>
        </w:tc>
        <w:tc>
          <w:tcPr>
            <w:tcW w:w="120" w:type="dxa"/>
            <w:vAlign w:val="bottom"/>
            <w:gridSpan w:val="2"/>
          </w:tcPr>
          <w:p>
            <w:pPr>
              <w:spacing w:after="0"/>
              <w:rPr>
                <w:sz w:val="22"/>
                <w:szCs w:val="22"/>
                <w:color w:val="auto"/>
              </w:rPr>
            </w:pPr>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05">
              <w:r>
                <w:rPr>
                  <w:rFonts w:ascii="Times New Roman" w:cs="Times New Roman" w:eastAsia="Times New Roman" w:hAnsi="Times New Roman"/>
                  <w:sz w:val="18"/>
                  <w:szCs w:val="18"/>
                  <w:color w:val="0000EE"/>
                  <w:w w:val="99"/>
                </w:rPr>
                <w:t>and the entity formerly known as Korro Bio, Inc. (incorporated by reference to Exhibit 2.1 to the registrant’s Current Report on Form</w:t>
              </w:r>
            </w:hyperlink>
          </w:p>
        </w:tc>
        <w:tc>
          <w:tcPr>
            <w:tcW w:w="300" w:type="dxa"/>
            <w:vAlign w:val="bottom"/>
            <w:gridSpan w:val="6"/>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EE"/>
              </w:rPr>
            </w:pPr>
            <w:hyperlink r:id="rId405">
              <w:r>
                <w:rPr>
                  <w:rFonts w:ascii="Times New Roman" w:cs="Times New Roman" w:eastAsia="Times New Roman" w:hAnsi="Times New Roman"/>
                  <w:sz w:val="18"/>
                  <w:szCs w:val="18"/>
                  <w:color w:val="0000EE"/>
                </w:rPr>
                <w:t>8-K filed on July 14, 2023).</w:t>
              </w:r>
            </w:hyperlink>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Restated Certificate of Incorporation (incorporated by reference to Exhibit 3.1 to the registrant’s Current Report on Form 8-K filed on</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October 7, 2019).</w:t>
              </w:r>
            </w:hyperlink>
          </w:p>
        </w:tc>
        <w:tc>
          <w:tcPr>
            <w:tcW w:w="280" w:type="dxa"/>
            <w:vAlign w:val="bottom"/>
            <w:gridSpan w:val="4"/>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Certificate of Amendment to Restated Certificate of Incorporation (incorporated by reference to Exhibit 3.1 to the registrant’s Current</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Report on Form 8-K filed on November 6, 2023).</w:t>
              </w:r>
            </w:hyperlink>
          </w:p>
        </w:tc>
        <w:tc>
          <w:tcPr>
            <w:tcW w:w="280" w:type="dxa"/>
            <w:vAlign w:val="bottom"/>
            <w:gridSpan w:val="4"/>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Certificate of Amendment to Restated Certificate of Incorporation (incorporated by reference to Exhibit 3.2 to the registrant’s Current</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Report on Form 8-K filed on November 6, 2023).</w:t>
              </w:r>
            </w:hyperlink>
          </w:p>
        </w:tc>
        <w:tc>
          <w:tcPr>
            <w:tcW w:w="280" w:type="dxa"/>
            <w:vAlign w:val="bottom"/>
            <w:gridSpan w:val="4"/>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Amended and Restated Bylaws (incorporated by reference to Exhibit 3.1 to the registrant’s Current Report on Form 8-K filed on</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09">
              <w:r>
                <w:rPr>
                  <w:rFonts w:ascii="Times New Roman" w:cs="Times New Roman" w:eastAsia="Times New Roman" w:hAnsi="Times New Roman"/>
                  <w:sz w:val="18"/>
                  <w:szCs w:val="18"/>
                  <w:color w:val="0000EE"/>
                </w:rPr>
                <w:t>September 23, 2020).</w:t>
              </w:r>
            </w:hyperlink>
          </w:p>
        </w:tc>
        <w:tc>
          <w:tcPr>
            <w:tcW w:w="660" w:type="dxa"/>
            <w:vAlign w:val="bottom"/>
            <w:gridSpan w:val="10"/>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24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410">
              <w:r>
                <w:rPr>
                  <w:rFonts w:ascii="Times New Roman" w:cs="Times New Roman" w:eastAsia="Times New Roman" w:hAnsi="Times New Roman"/>
                  <w:sz w:val="18"/>
                  <w:szCs w:val="18"/>
                  <w:color w:val="0000EE"/>
                  <w:w w:val="98"/>
                </w:rPr>
                <w:t>Opinion of Goodwin Procter LLP.</w:t>
              </w:r>
            </w:hyperlink>
          </w:p>
        </w:tc>
        <w:tc>
          <w:tcPr>
            <w:tcW w:w="7440" w:type="dxa"/>
            <w:vAlign w:val="bottom"/>
            <w:gridSpan w:val="22"/>
          </w:tcPr>
          <w:p>
            <w:pPr>
              <w:spacing w:after="0"/>
              <w:rPr>
                <w:sz w:val="24"/>
                <w:szCs w:val="24"/>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9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Korro Bio, Inc. 2023 Stock Option and Incentive Plan, and form of award agreements thereunder.</w:t>
            </w: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spacing w:after="0"/>
              <w:rPr>
                <w:sz w:val="24"/>
                <w:szCs w:val="24"/>
                <w:color w:val="auto"/>
              </w:rPr>
            </w:pPr>
          </w:p>
        </w:tc>
        <w:tc>
          <w:tcPr>
            <w:tcW w:w="70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Korro Bio, Inc. 2023 Employee Stock Purchase Plan</w:t>
            </w:r>
            <w:r>
              <w:rPr>
                <w:rFonts w:ascii="Times New Roman" w:cs="Times New Roman" w:eastAsia="Times New Roman" w:hAnsi="Times New Roman"/>
                <w:sz w:val="18"/>
                <w:szCs w:val="18"/>
                <w:color w:val="000000"/>
              </w:rPr>
              <w:t>.</w:t>
            </w:r>
          </w:p>
        </w:tc>
        <w:tc>
          <w:tcPr>
            <w:tcW w:w="2880" w:type="dxa"/>
            <w:vAlign w:val="bottom"/>
            <w:gridSpan w:val="16"/>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9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411">
              <w:r>
                <w:rPr>
                  <w:rFonts w:ascii="Times New Roman" w:cs="Times New Roman" w:eastAsia="Times New Roman" w:hAnsi="Times New Roman"/>
                  <w:sz w:val="18"/>
                  <w:szCs w:val="18"/>
                  <w:color w:val="0000EE"/>
                  <w:w w:val="99"/>
                </w:rPr>
                <w:t>Korro Bio, Inc. 2019 Stock Incentive Plan, and form of award agreements thereunder (incorporated by reference to Exhibit 10.8 to the</w:t>
              </w:r>
            </w:hyperlink>
          </w:p>
        </w:tc>
        <w:tc>
          <w:tcPr>
            <w:tcW w:w="240" w:type="dxa"/>
            <w:vAlign w:val="bottom"/>
            <w:gridSpan w:val="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EE"/>
              </w:rPr>
            </w:pPr>
            <w:hyperlink r:id="rId411">
              <w:r>
                <w:rPr>
                  <w:rFonts w:ascii="Times New Roman" w:cs="Times New Roman" w:eastAsia="Times New Roman" w:hAnsi="Times New Roman"/>
                  <w:sz w:val="18"/>
                  <w:szCs w:val="18"/>
                  <w:color w:val="0000EE"/>
                </w:rPr>
                <w:t>registrant’s Current Report on Form 8-K filed on November 6, 2023).</w:t>
              </w:r>
            </w:hyperlink>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620" w:type="dxa"/>
            <w:vAlign w:val="bottom"/>
            <w:gridSpan w:val="6"/>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12">
              <w:r>
                <w:rPr>
                  <w:rFonts w:ascii="Times New Roman" w:cs="Times New Roman" w:eastAsia="Times New Roman" w:hAnsi="Times New Roman"/>
                  <w:sz w:val="18"/>
                  <w:szCs w:val="18"/>
                  <w:color w:val="0000EE"/>
                  <w:w w:val="99"/>
                </w:rPr>
                <w:t>Korro Bio, Inc. Non-Employee Director Compensation Policy (incorporated by reference to Exhibit 10.11 to the Form 8-K, filed</w:t>
              </w:r>
            </w:hyperlink>
          </w:p>
        </w:tc>
        <w:tc>
          <w:tcPr>
            <w:tcW w:w="640" w:type="dxa"/>
            <w:vAlign w:val="bottom"/>
            <w:gridSpan w:val="9"/>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November 6, 2023).</w:t>
              </w:r>
            </w:hyperlink>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Frequency Therapeutics, Inc. 2014 Stock Incentive Plan, as amended, and form of option agreements thereunder (incorporated by</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reference to Exhibit 10.1 to the registrant’s Registration Statement on Form S-1 (333-233652) filed on September 6, 2019).</w:t>
              </w:r>
            </w:hyperlink>
          </w:p>
        </w:tc>
        <w:tc>
          <w:tcPr>
            <w:tcW w:w="580" w:type="dxa"/>
            <w:vAlign w:val="bottom"/>
            <w:gridSpan w:val="8"/>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w w:val="99"/>
              </w:rPr>
            </w:pPr>
            <w:hyperlink r:id="rId414">
              <w:r>
                <w:rPr>
                  <w:rFonts w:ascii="Times New Roman" w:cs="Times New Roman" w:eastAsia="Times New Roman" w:hAnsi="Times New Roman"/>
                  <w:sz w:val="18"/>
                  <w:szCs w:val="18"/>
                  <w:color w:val="0000EE"/>
                  <w:w w:val="99"/>
                </w:rPr>
                <w:t>Frequency Therapeutics, Inc. 2019 Incentive Award Plan and form of award agreements thereunder (incorporated by reference to Exhibit</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1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to the registrant’s Registration Statement on Form S-1/A (333-233652) filed on September 23, 2019).</w:t>
              </w:r>
            </w:hyperlink>
          </w:p>
        </w:tc>
        <w:tc>
          <w:tcPr>
            <w:tcW w:w="2200" w:type="dxa"/>
            <w:vAlign w:val="bottom"/>
            <w:tcBorders>
              <w:top w:val="single" w:sz="8" w:color="0000EE"/>
            </w:tcBorders>
            <w:gridSpan w:val="12"/>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Frequency Therapeutics, Inc. 2019 Employee Stock Purchase Plan (incorporated by reference to Exhibit 10.13 to the registrant’s</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Registration Statement on Form S-1/A (333-233652) filed on September 23, 2019).</w:t>
              </w:r>
            </w:hyperlink>
          </w:p>
        </w:tc>
        <w:tc>
          <w:tcPr>
            <w:tcW w:w="660" w:type="dxa"/>
            <w:vAlign w:val="bottom"/>
            <w:gridSpan w:val="10"/>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4"/>
                <w:szCs w:val="24"/>
                <w:color w:val="auto"/>
              </w:rPr>
            </w:pPr>
          </w:p>
        </w:tc>
        <w:tc>
          <w:tcPr>
            <w:tcW w:w="91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16">
              <w:r>
                <w:rPr>
                  <w:rFonts w:ascii="Times New Roman" w:cs="Times New Roman" w:eastAsia="Times New Roman" w:hAnsi="Times New Roman"/>
                  <w:sz w:val="18"/>
                  <w:szCs w:val="18"/>
                  <w:color w:val="0000EE"/>
                  <w:w w:val="99"/>
                </w:rPr>
                <w:t>Korro Bio, Inc. Senior Executive Cash Incentive Bonus Plan (incorporated by reference to Exhibit 10.12 to the Form 8-K, filed</w:t>
              </w:r>
            </w:hyperlink>
          </w:p>
        </w:tc>
        <w:tc>
          <w:tcPr>
            <w:tcW w:w="740" w:type="dxa"/>
            <w:vAlign w:val="bottom"/>
            <w:gridSpan w:val="11"/>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November 6, 2023).</w:t>
              </w:r>
            </w:hyperlink>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tcPr>
          <w:p>
            <w:pPr>
              <w:spacing w:after="0"/>
              <w:rPr>
                <w:sz w:val="24"/>
                <w:szCs w:val="24"/>
                <w:color w:val="auto"/>
              </w:rPr>
            </w:pPr>
          </w:p>
        </w:tc>
        <w:tc>
          <w:tcPr>
            <w:tcW w:w="93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417">
              <w:r>
                <w:rPr>
                  <w:rFonts w:ascii="Times New Roman" w:cs="Times New Roman" w:eastAsia="Times New Roman" w:hAnsi="Times New Roman"/>
                  <w:sz w:val="18"/>
                  <w:szCs w:val="18"/>
                  <w:color w:val="0000EE"/>
                  <w:w w:val="99"/>
                </w:rPr>
                <w:t>Employment Agreement, dated as of November 10, 2023, by and between Korro Bio, Inc. and Ram Aiyar, Ph.D. (incorporated by</w:t>
              </w:r>
            </w:hyperlink>
          </w:p>
        </w:tc>
        <w:tc>
          <w:tcPr>
            <w:tcW w:w="540" w:type="dxa"/>
            <w:vAlign w:val="bottom"/>
            <w:gridSpan w:val="7"/>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reference to Exhibit 10.1 to the Form 8-K filed November 14, 2023).</w:t>
              </w:r>
            </w:hyperlink>
          </w:p>
        </w:tc>
        <w:tc>
          <w:tcPr>
            <w:tcW w:w="4900" w:type="dxa"/>
            <w:vAlign w:val="bottom"/>
            <w:gridSpan w:val="18"/>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4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EE"/>
              </w:rPr>
            </w:pPr>
            <w:hyperlink r:id="rId418">
              <w:r>
                <w:rPr>
                  <w:rFonts w:ascii="Times New Roman" w:cs="Times New Roman" w:eastAsia="Times New Roman" w:hAnsi="Times New Roman"/>
                  <w:sz w:val="18"/>
                  <w:szCs w:val="18"/>
                  <w:color w:val="0000EE"/>
                </w:rPr>
                <w:t>Employment Agreement, dated November 8, 2023, by and between Korro Bio, Inc. and Vineet Agarwal (incorporated by reference to</w:t>
              </w:r>
            </w:hyperlink>
          </w:p>
        </w:tc>
      </w:tr>
      <w:tr>
        <w:trPr>
          <w:trHeight w:val="196"/>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18">
              <w:r>
                <w:rPr>
                  <w:rFonts w:ascii="Times New Roman" w:cs="Times New Roman" w:eastAsia="Times New Roman" w:hAnsi="Times New Roman"/>
                  <w:sz w:val="18"/>
                  <w:szCs w:val="18"/>
                  <w:color w:val="0000EE"/>
                  <w:w w:val="99"/>
                </w:rPr>
                <w:t>Exhibit 10.2 to the Form 8-K filed November 14, 2023).</w:t>
              </w:r>
            </w:hyperlink>
          </w:p>
        </w:tc>
        <w:tc>
          <w:tcPr>
            <w:tcW w:w="5560" w:type="dxa"/>
            <w:vAlign w:val="bottom"/>
            <w:tcBorders>
              <w:top w:val="single" w:sz="8" w:color="0000EE"/>
            </w:tcBorders>
            <w:gridSpan w:val="14"/>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10.11**</w:t>
            </w:r>
          </w:p>
        </w:tc>
        <w:tc>
          <w:tcPr>
            <w:tcW w:w="540" w:type="dxa"/>
            <w:vAlign w:val="bottom"/>
          </w:tcPr>
          <w:p>
            <w:pPr>
              <w:spacing w:after="0"/>
              <w:rPr>
                <w:sz w:val="24"/>
                <w:szCs w:val="24"/>
                <w:color w:val="auto"/>
              </w:rPr>
            </w:pPr>
          </w:p>
        </w:tc>
        <w:tc>
          <w:tcPr>
            <w:tcW w:w="99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Employment Agreement, dated November 8, 2023, by and between Korro Bio, Inc. and Shelby Walker.</w:t>
            </w: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10.12**</w:t>
            </w:r>
          </w:p>
        </w:tc>
        <w:tc>
          <w:tcPr>
            <w:tcW w:w="540" w:type="dxa"/>
            <w:vAlign w:val="bottom"/>
          </w:tcPr>
          <w:p>
            <w:pPr>
              <w:spacing w:after="0"/>
              <w:rPr>
                <w:sz w:val="24"/>
                <w:szCs w:val="24"/>
                <w:color w:val="auto"/>
              </w:rPr>
            </w:pPr>
          </w:p>
        </w:tc>
        <w:tc>
          <w:tcPr>
            <w:tcW w:w="74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Employment Agreement, dated November 8, 2023, by and between Korro Bio, Inc. and Steve Colletti.</w:t>
            </w:r>
          </w:p>
        </w:tc>
        <w:tc>
          <w:tcPr>
            <w:tcW w:w="2460" w:type="dxa"/>
            <w:vAlign w:val="bottom"/>
            <w:gridSpan w:val="14"/>
          </w:tcPr>
          <w:p>
            <w:pPr>
              <w:spacing w:after="0"/>
              <w:rPr>
                <w:sz w:val="24"/>
                <w:szCs w:val="24"/>
                <w:color w:val="auto"/>
              </w:rPr>
            </w:pPr>
          </w:p>
        </w:tc>
      </w:tr>
      <w:tr>
        <w:trPr>
          <w:trHeight w:val="385"/>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320" w:type="dxa"/>
            <w:vAlign w:val="bottom"/>
            <w:tcBorders>
              <w:top w:val="single" w:sz="8" w:color="0000EE"/>
            </w:tcBorders>
            <w:gridSpan w:val="4"/>
          </w:tcPr>
          <w:p>
            <w:pPr>
              <w:ind w:left="180"/>
              <w:spacing w:after="0"/>
              <w:rPr>
                <w:sz w:val="20"/>
                <w:szCs w:val="20"/>
                <w:color w:val="auto"/>
              </w:rPr>
            </w:pPr>
            <w:r>
              <w:rPr>
                <w:rFonts w:ascii="Times New Roman" w:cs="Times New Roman" w:eastAsia="Times New Roman" w:hAnsi="Times New Roman"/>
                <w:sz w:val="18"/>
                <w:szCs w:val="18"/>
                <w:color w:val="auto"/>
              </w:rPr>
              <w:t>II-3</w:t>
            </w:r>
          </w:p>
        </w:tc>
        <w:tc>
          <w:tcPr>
            <w:tcW w:w="2520" w:type="dxa"/>
            <w:vAlign w:val="bottom"/>
            <w:gridSpan w:val="15"/>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0" w:type="dxa"/>
            <w:vAlign w:val="bottom"/>
            <w:gridSpan w:val="20"/>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10.13**</w:t>
            </w:r>
          </w:p>
        </w:tc>
        <w:tc>
          <w:tcPr>
            <w:tcW w:w="540" w:type="dxa"/>
            <w:vAlign w:val="bottom"/>
          </w:tcPr>
          <w:p>
            <w:pPr>
              <w:spacing w:after="0"/>
              <w:rPr>
                <w:sz w:val="22"/>
                <w:szCs w:val="22"/>
                <w:color w:val="auto"/>
              </w:rPr>
            </w:pPr>
          </w:p>
        </w:tc>
        <w:tc>
          <w:tcPr>
            <w:tcW w:w="9700" w:type="dxa"/>
            <w:vAlign w:val="bottom"/>
            <w:tcBorders>
              <w:top w:val="single" w:sz="8" w:color="auto"/>
            </w:tcBorders>
            <w:gridSpan w:val="30"/>
          </w:tcPr>
          <w:p>
            <w:pPr>
              <w:spacing w:after="0"/>
              <w:rPr>
                <w:sz w:val="20"/>
                <w:szCs w:val="20"/>
                <w:color w:val="auto"/>
              </w:rPr>
            </w:pPr>
            <w:r>
              <w:rPr>
                <w:rFonts w:ascii="Times New Roman" w:cs="Times New Roman" w:eastAsia="Times New Roman" w:hAnsi="Times New Roman"/>
                <w:sz w:val="18"/>
                <w:szCs w:val="18"/>
                <w:color w:val="0000EE"/>
              </w:rPr>
              <w:t>Employment Agreement, dated November 9, 2023, by and between Korro Bio, Inc. and Todd Chappell.</w:t>
            </w: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40" w:type="dxa"/>
            <w:vAlign w:val="bottom"/>
          </w:tcPr>
          <w:p>
            <w:pPr>
              <w:spacing w:after="0"/>
              <w:rPr>
                <w:sz w:val="24"/>
                <w:szCs w:val="24"/>
                <w:color w:val="auto"/>
              </w:rPr>
            </w:pPr>
          </w:p>
        </w:tc>
        <w:tc>
          <w:tcPr>
            <w:tcW w:w="95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420">
              <w:r>
                <w:rPr>
                  <w:rFonts w:ascii="Times New Roman" w:cs="Times New Roman" w:eastAsia="Times New Roman" w:hAnsi="Times New Roman"/>
                  <w:sz w:val="18"/>
                  <w:szCs w:val="18"/>
                  <w:color w:val="0000EE"/>
                  <w:w w:val="99"/>
                </w:rPr>
                <w:t>Form of Indemnification Agreement for Officers of Korro Bio, Inc. (incorporated by reference to Exhibit 10.6 to the Form 8-K filed</w:t>
              </w:r>
            </w:hyperlink>
          </w:p>
        </w:tc>
        <w:tc>
          <w:tcPr>
            <w:tcW w:w="180" w:type="dxa"/>
            <w:vAlign w:val="bottom"/>
            <w:gridSpan w:val="5"/>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20">
              <w:r>
                <w:rPr>
                  <w:rFonts w:ascii="Times New Roman" w:cs="Times New Roman" w:eastAsia="Times New Roman" w:hAnsi="Times New Roman"/>
                  <w:sz w:val="18"/>
                  <w:szCs w:val="18"/>
                  <w:color w:val="0000EE"/>
                </w:rPr>
                <w:t>November 6, 2023).</w:t>
              </w:r>
            </w:hyperlink>
          </w:p>
        </w:tc>
        <w:tc>
          <w:tcPr>
            <w:tcW w:w="8220" w:type="dxa"/>
            <w:vAlign w:val="bottom"/>
            <w:gridSpan w:val="26"/>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40" w:type="dxa"/>
            <w:vAlign w:val="bottom"/>
          </w:tcPr>
          <w:p>
            <w:pPr>
              <w:spacing w:after="0"/>
              <w:rPr>
                <w:sz w:val="24"/>
                <w:szCs w:val="24"/>
                <w:color w:val="auto"/>
              </w:rPr>
            </w:pPr>
          </w:p>
        </w:tc>
        <w:tc>
          <w:tcPr>
            <w:tcW w:w="960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421">
              <w:r>
                <w:rPr>
                  <w:rFonts w:ascii="Times New Roman" w:cs="Times New Roman" w:eastAsia="Times New Roman" w:hAnsi="Times New Roman"/>
                  <w:sz w:val="18"/>
                  <w:szCs w:val="18"/>
                  <w:color w:val="0000EE"/>
                  <w:w w:val="99"/>
                </w:rPr>
                <w:t>Form of Indemnification Agreement for Directors of Korro Bio, Inc. (incorporated by reference to Exhibit 10.7 to the Form 8-K filed</w:t>
              </w:r>
            </w:hyperlink>
          </w:p>
        </w:tc>
        <w:tc>
          <w:tcPr>
            <w:tcW w:w="100" w:type="dxa"/>
            <w:vAlign w:val="bottom"/>
            <w:gridSpan w:val="3"/>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21">
              <w:r>
                <w:rPr>
                  <w:rFonts w:ascii="Times New Roman" w:cs="Times New Roman" w:eastAsia="Times New Roman" w:hAnsi="Times New Roman"/>
                  <w:sz w:val="18"/>
                  <w:szCs w:val="18"/>
                  <w:color w:val="0000EE"/>
                  <w:w w:val="99"/>
                </w:rPr>
                <w:t>November 6, 2023).</w:t>
              </w:r>
            </w:hyperlink>
          </w:p>
        </w:tc>
        <w:tc>
          <w:tcPr>
            <w:tcW w:w="8240" w:type="dxa"/>
            <w:vAlign w:val="bottom"/>
            <w:gridSpan w:val="27"/>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40" w:type="dxa"/>
            <w:vAlign w:val="bottom"/>
          </w:tcPr>
          <w:p>
            <w:pPr>
              <w:spacing w:after="0"/>
              <w:rPr>
                <w:sz w:val="24"/>
                <w:szCs w:val="24"/>
                <w:color w:val="auto"/>
              </w:rPr>
            </w:pPr>
          </w:p>
        </w:tc>
        <w:tc>
          <w:tcPr>
            <w:tcW w:w="9700" w:type="dxa"/>
            <w:vAlign w:val="bottom"/>
            <w:gridSpan w:val="30"/>
          </w:tcPr>
          <w:p>
            <w:pPr>
              <w:spacing w:after="0"/>
              <w:rPr>
                <w:rFonts w:ascii="Times New Roman" w:cs="Times New Roman" w:eastAsia="Times New Roman" w:hAnsi="Times New Roman"/>
                <w:sz w:val="18"/>
                <w:szCs w:val="18"/>
                <w:color w:val="0000EE"/>
              </w:rPr>
            </w:pPr>
            <w:hyperlink r:id="rId422">
              <w:r>
                <w:rPr>
                  <w:rFonts w:ascii="Times New Roman" w:cs="Times New Roman" w:eastAsia="Times New Roman" w:hAnsi="Times New Roman"/>
                  <w:sz w:val="18"/>
                  <w:szCs w:val="18"/>
                  <w:color w:val="0000EE"/>
                </w:rPr>
                <w:t>Third Amended and Restated Investors’ Rights Agreement of Korro Bio, Inc., dated November 8, 2021 (incorporated by reference to</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422">
              <w:r>
                <w:rPr>
                  <w:rFonts w:ascii="Times New Roman" w:cs="Times New Roman" w:eastAsia="Times New Roman" w:hAnsi="Times New Roman"/>
                  <w:sz w:val="18"/>
                  <w:szCs w:val="18"/>
                  <w:color w:val="0000EE"/>
                </w:rPr>
                <w:t>Exhibit 10.27 to the Form S-4/A filed September 28, 2023).</w:t>
              </w:r>
            </w:hyperlink>
          </w:p>
        </w:tc>
        <w:tc>
          <w:tcPr>
            <w:tcW w:w="120" w:type="dxa"/>
            <w:vAlign w:val="bottom"/>
            <w:gridSpan w:val="4"/>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40" w:type="dxa"/>
            <w:vAlign w:val="bottom"/>
          </w:tcPr>
          <w:p>
            <w:pPr>
              <w:spacing w:after="0"/>
              <w:rPr>
                <w:sz w:val="24"/>
                <w:szCs w:val="24"/>
                <w:color w:val="auto"/>
              </w:rPr>
            </w:pPr>
          </w:p>
        </w:tc>
        <w:tc>
          <w:tcPr>
            <w:tcW w:w="8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423">
              <w:r>
                <w:rPr>
                  <w:rFonts w:ascii="Times New Roman" w:cs="Times New Roman" w:eastAsia="Times New Roman" w:hAnsi="Times New Roman"/>
                  <w:sz w:val="18"/>
                  <w:szCs w:val="18"/>
                  <w:color w:val="0000EE"/>
                  <w:w w:val="99"/>
                </w:rPr>
                <w:t>Form of Lock-Up Agreement (incorporated by reference to Exhibit 10.3 to the Form 8-K filed November 6, 2023).</w:t>
              </w:r>
            </w:hyperlink>
          </w:p>
        </w:tc>
        <w:tc>
          <w:tcPr>
            <w:tcW w:w="1420" w:type="dxa"/>
            <w:vAlign w:val="bottom"/>
            <w:gridSpan w:val="13"/>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40" w:type="dxa"/>
            <w:vAlign w:val="bottom"/>
          </w:tcPr>
          <w:p>
            <w:pPr>
              <w:spacing w:after="0"/>
              <w:rPr>
                <w:sz w:val="24"/>
                <w:szCs w:val="24"/>
                <w:color w:val="auto"/>
              </w:rPr>
            </w:pPr>
          </w:p>
        </w:tc>
        <w:tc>
          <w:tcPr>
            <w:tcW w:w="91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424">
              <w:r>
                <w:rPr>
                  <w:rFonts w:ascii="Times New Roman" w:cs="Times New Roman" w:eastAsia="Times New Roman" w:hAnsi="Times New Roman"/>
                  <w:sz w:val="18"/>
                  <w:szCs w:val="18"/>
                  <w:color w:val="0000EE"/>
                  <w:w w:val="99"/>
                </w:rPr>
                <w:t>Contingent Value Rights Agreement dated November 3, 2023 (incorporated by reference to Exhibit 10.4 to the Form 8-K filed</w:t>
              </w:r>
            </w:hyperlink>
          </w:p>
        </w:tc>
        <w:tc>
          <w:tcPr>
            <w:tcW w:w="600" w:type="dxa"/>
            <w:vAlign w:val="bottom"/>
            <w:gridSpan w:val="11"/>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24">
              <w:r>
                <w:rPr>
                  <w:rFonts w:ascii="Times New Roman" w:cs="Times New Roman" w:eastAsia="Times New Roman" w:hAnsi="Times New Roman"/>
                  <w:sz w:val="18"/>
                  <w:szCs w:val="18"/>
                  <w:color w:val="0000EE"/>
                </w:rPr>
                <w:t>November 6, 2023).</w:t>
              </w:r>
            </w:hyperlink>
          </w:p>
        </w:tc>
        <w:tc>
          <w:tcPr>
            <w:tcW w:w="8220" w:type="dxa"/>
            <w:vAlign w:val="bottom"/>
            <w:gridSpan w:val="26"/>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40" w:type="dxa"/>
            <w:vAlign w:val="bottom"/>
          </w:tcPr>
          <w:p>
            <w:pPr>
              <w:spacing w:after="0"/>
              <w:rPr>
                <w:sz w:val="24"/>
                <w:szCs w:val="24"/>
                <w:color w:val="auto"/>
              </w:rPr>
            </w:pPr>
          </w:p>
        </w:tc>
        <w:tc>
          <w:tcPr>
            <w:tcW w:w="91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Lease Agreement, by and between Korro Bio, Inc. and ARE-MA Region No. 59, LLC, dated August 10, 2020, as amended on</w:t>
              </w:r>
            </w:hyperlink>
          </w:p>
        </w:tc>
        <w:tc>
          <w:tcPr>
            <w:tcW w:w="600" w:type="dxa"/>
            <w:vAlign w:val="bottom"/>
            <w:gridSpan w:val="11"/>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30"/>
          </w:tcPr>
          <w:p>
            <w:pPr>
              <w:spacing w:after="0" w:line="196" w:lineRule="exact"/>
              <w:rPr>
                <w:rFonts w:ascii="Times New Roman" w:cs="Times New Roman" w:eastAsia="Times New Roman" w:hAnsi="Times New Roman"/>
                <w:sz w:val="18"/>
                <w:szCs w:val="18"/>
                <w:color w:val="0000EE"/>
              </w:rPr>
            </w:pPr>
            <w:hyperlink r:id="rId425">
              <w:r>
                <w:rPr>
                  <w:rFonts w:ascii="Times New Roman" w:cs="Times New Roman" w:eastAsia="Times New Roman" w:hAnsi="Times New Roman"/>
                  <w:sz w:val="18"/>
                  <w:szCs w:val="18"/>
                  <w:color w:val="0000EE"/>
                </w:rPr>
                <w:t>March 2, 2021 (incorporated by reference to Exhibit 10.21 to the Form S-4 filed September 28, 2023).</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40" w:type="dxa"/>
            <w:vAlign w:val="bottom"/>
          </w:tcPr>
          <w:p>
            <w:pPr>
              <w:spacing w:after="0"/>
              <w:rPr>
                <w:sz w:val="24"/>
                <w:szCs w:val="24"/>
                <w:color w:val="auto"/>
              </w:rPr>
            </w:pPr>
          </w:p>
        </w:tc>
        <w:tc>
          <w:tcPr>
            <w:tcW w:w="94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Lease Agreement, by and between Korro Bio Ops, Inc. and ARE-MA Region No. 59, LLC, dated August 10, 2020, as amended on</w:t>
              </w:r>
            </w:hyperlink>
          </w:p>
        </w:tc>
        <w:tc>
          <w:tcPr>
            <w:tcW w:w="260" w:type="dxa"/>
            <w:vAlign w:val="bottom"/>
            <w:gridSpan w:val="7"/>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9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March 2, 2021 (incorporated by reference to Exhibit 10.21 to the Registration Statement on Form S-4/A deemed filed by the</w:t>
              </w:r>
            </w:hyperlink>
          </w:p>
        </w:tc>
        <w:tc>
          <w:tcPr>
            <w:tcW w:w="740" w:type="dxa"/>
            <w:vAlign w:val="bottom"/>
            <w:gridSpan w:val="1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Registrant on September 28, 2023).</w:t>
              </w:r>
            </w:hyperlink>
          </w:p>
        </w:tc>
        <w:tc>
          <w:tcPr>
            <w:tcW w:w="7140" w:type="dxa"/>
            <w:vAlign w:val="bottom"/>
            <w:gridSpan w:val="23"/>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40" w:type="dxa"/>
            <w:vAlign w:val="bottom"/>
          </w:tcPr>
          <w:p>
            <w:pPr>
              <w:spacing w:after="0"/>
              <w:rPr>
                <w:sz w:val="24"/>
                <w:szCs w:val="24"/>
                <w:color w:val="auto"/>
              </w:rPr>
            </w:pPr>
          </w:p>
        </w:tc>
        <w:tc>
          <w:tcPr>
            <w:tcW w:w="95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426">
              <w:r>
                <w:rPr>
                  <w:rFonts w:ascii="Times New Roman" w:cs="Times New Roman" w:eastAsia="Times New Roman" w:hAnsi="Times New Roman"/>
                  <w:sz w:val="18"/>
                  <w:szCs w:val="18"/>
                  <w:color w:val="0000EE"/>
                  <w:w w:val="99"/>
                </w:rPr>
                <w:t>Indenture of Lease, effective as of January 7, 2020 between HCP/KING 75 Hayden LLC and Frequency Therapeutics (incorporated</w:t>
              </w:r>
            </w:hyperlink>
          </w:p>
        </w:tc>
        <w:tc>
          <w:tcPr>
            <w:tcW w:w="20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26">
              <w:r>
                <w:rPr>
                  <w:rFonts w:ascii="Times New Roman" w:cs="Times New Roman" w:eastAsia="Times New Roman" w:hAnsi="Times New Roman"/>
                  <w:sz w:val="18"/>
                  <w:szCs w:val="18"/>
                  <w:color w:val="0000EE"/>
                  <w:w w:val="99"/>
                </w:rPr>
                <w:t>by reference to Exhibit 10.13 to the registrant’s Annual Report on Form 10-K filed on March 26, 2020).</w:t>
              </w:r>
            </w:hyperlink>
          </w:p>
        </w:tc>
        <w:tc>
          <w:tcPr>
            <w:tcW w:w="2220" w:type="dxa"/>
            <w:vAlign w:val="bottom"/>
            <w:gridSpan w:val="14"/>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40" w:type="dxa"/>
            <w:vAlign w:val="bottom"/>
          </w:tcPr>
          <w:p>
            <w:pPr>
              <w:spacing w:after="0"/>
              <w:rPr>
                <w:sz w:val="24"/>
                <w:szCs w:val="24"/>
                <w:color w:val="auto"/>
              </w:rPr>
            </w:pPr>
          </w:p>
        </w:tc>
        <w:tc>
          <w:tcPr>
            <w:tcW w:w="96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427">
              <w:r>
                <w:rPr>
                  <w:rFonts w:ascii="Times New Roman" w:cs="Times New Roman" w:eastAsia="Times New Roman" w:hAnsi="Times New Roman"/>
                  <w:sz w:val="18"/>
                  <w:szCs w:val="18"/>
                  <w:color w:val="0000EE"/>
                  <w:w w:val="99"/>
                </w:rPr>
                <w:t>Sublease Agreement, dated July 8, 2022, by and between Frequency Therapeutics, Inc., and SalioGen Therapeutics, Inc. (incorporated</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30"/>
          </w:tcPr>
          <w:p>
            <w:pPr>
              <w:spacing w:after="0" w:line="196" w:lineRule="exact"/>
              <w:rPr>
                <w:rFonts w:ascii="Times New Roman" w:cs="Times New Roman" w:eastAsia="Times New Roman" w:hAnsi="Times New Roman"/>
                <w:sz w:val="18"/>
                <w:szCs w:val="18"/>
                <w:color w:val="0000EE"/>
              </w:rPr>
            </w:pPr>
            <w:hyperlink r:id="rId427">
              <w:r>
                <w:rPr>
                  <w:rFonts w:ascii="Times New Roman" w:cs="Times New Roman" w:eastAsia="Times New Roman" w:hAnsi="Times New Roman"/>
                  <w:sz w:val="18"/>
                  <w:szCs w:val="18"/>
                  <w:color w:val="0000EE"/>
                </w:rPr>
                <w:t>by reference to Exhibit 10.1 to the registrant’s Current Report on Form 8-K filed on July 12, 2022).</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40" w:type="dxa"/>
            <w:vAlign w:val="bottom"/>
          </w:tcPr>
          <w:p>
            <w:pPr>
              <w:spacing w:after="0"/>
              <w:rPr>
                <w:sz w:val="24"/>
                <w:szCs w:val="24"/>
                <w:color w:val="auto"/>
              </w:rPr>
            </w:pPr>
          </w:p>
        </w:tc>
        <w:tc>
          <w:tcPr>
            <w:tcW w:w="9700" w:type="dxa"/>
            <w:vAlign w:val="bottom"/>
            <w:gridSpan w:val="30"/>
          </w:tcPr>
          <w:p>
            <w:pPr>
              <w:spacing w:after="0"/>
              <w:rPr>
                <w:rFonts w:ascii="Times New Roman" w:cs="Times New Roman" w:eastAsia="Times New Roman" w:hAnsi="Times New Roman"/>
                <w:sz w:val="18"/>
                <w:szCs w:val="18"/>
                <w:color w:val="0000EE"/>
              </w:rPr>
            </w:pPr>
            <w:hyperlink r:id="rId428">
              <w:r>
                <w:rPr>
                  <w:rFonts w:ascii="Times New Roman" w:cs="Times New Roman" w:eastAsia="Times New Roman" w:hAnsi="Times New Roman"/>
                  <w:sz w:val="18"/>
                  <w:szCs w:val="18"/>
                  <w:color w:val="0000EE"/>
                </w:rPr>
                <w:t>Subscription Agreement, dated as of July 14, 2023 (incorporated by reference to Exhibit 10.1 to the registrant’s Current Report on</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28">
              <w:r>
                <w:rPr>
                  <w:rFonts w:ascii="Times New Roman" w:cs="Times New Roman" w:eastAsia="Times New Roman" w:hAnsi="Times New Roman"/>
                  <w:sz w:val="18"/>
                  <w:szCs w:val="18"/>
                  <w:color w:val="0000EE"/>
                </w:rPr>
                <w:t>Form 8-K filed on November 6, 2023).</w:t>
              </w:r>
            </w:hyperlink>
          </w:p>
        </w:tc>
        <w:tc>
          <w:tcPr>
            <w:tcW w:w="340" w:type="dxa"/>
            <w:vAlign w:val="bottom"/>
            <w:gridSpan w:val="10"/>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40" w:type="dxa"/>
            <w:vAlign w:val="bottom"/>
          </w:tcPr>
          <w:p>
            <w:pPr>
              <w:spacing w:after="0"/>
              <w:rPr>
                <w:sz w:val="24"/>
                <w:szCs w:val="24"/>
                <w:color w:val="auto"/>
              </w:rPr>
            </w:pPr>
          </w:p>
        </w:tc>
        <w:tc>
          <w:tcPr>
            <w:tcW w:w="9700" w:type="dxa"/>
            <w:vAlign w:val="bottom"/>
            <w:gridSpan w:val="30"/>
          </w:tcPr>
          <w:p>
            <w:pPr>
              <w:spacing w:after="0"/>
              <w:rPr>
                <w:rFonts w:ascii="Times New Roman" w:cs="Times New Roman" w:eastAsia="Times New Roman" w:hAnsi="Times New Roman"/>
                <w:sz w:val="18"/>
                <w:szCs w:val="18"/>
                <w:color w:val="0000EE"/>
              </w:rPr>
            </w:pPr>
            <w:hyperlink r:id="rId429">
              <w:r>
                <w:rPr>
                  <w:rFonts w:ascii="Times New Roman" w:cs="Times New Roman" w:eastAsia="Times New Roman" w:hAnsi="Times New Roman"/>
                  <w:sz w:val="18"/>
                  <w:szCs w:val="18"/>
                  <w:color w:val="0000EE"/>
                </w:rPr>
                <w:t>Registration Rights Agreement, dated as of July 14, 2023 (incorporated by reference to Exhibit 10.2 to the registrant’s Current Report</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29">
              <w:r>
                <w:rPr>
                  <w:rFonts w:ascii="Times New Roman" w:cs="Times New Roman" w:eastAsia="Times New Roman" w:hAnsi="Times New Roman"/>
                  <w:sz w:val="18"/>
                  <w:szCs w:val="18"/>
                  <w:color w:val="0000EE"/>
                  <w:w w:val="99"/>
                </w:rPr>
                <w:t>on Form 8-K filed on November 6, 2023).</w:t>
              </w:r>
            </w:hyperlink>
          </w:p>
        </w:tc>
        <w:tc>
          <w:tcPr>
            <w:tcW w:w="6580" w:type="dxa"/>
            <w:vAlign w:val="bottom"/>
            <w:tcBorders>
              <w:top w:val="single" w:sz="8" w:color="0000EE"/>
            </w:tcBorders>
            <w:gridSpan w:val="19"/>
          </w:tcPr>
          <w:p>
            <w:pPr>
              <w:spacing w:after="0"/>
              <w:rPr>
                <w:sz w:val="17"/>
                <w:szCs w:val="17"/>
                <w:color w:val="auto"/>
              </w:rPr>
            </w:pPr>
          </w:p>
        </w:tc>
        <w:tc>
          <w:tcPr>
            <w:tcW w:w="80" w:type="dxa"/>
            <w:vAlign w:val="bottom"/>
            <w:gridSpan w:val="2"/>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40" w:type="dxa"/>
            <w:vAlign w:val="bottom"/>
          </w:tcPr>
          <w:p>
            <w:pPr>
              <w:spacing w:after="0"/>
              <w:rPr>
                <w:sz w:val="24"/>
                <w:szCs w:val="24"/>
                <w:color w:val="auto"/>
              </w:rPr>
            </w:pPr>
          </w:p>
        </w:tc>
        <w:tc>
          <w:tcPr>
            <w:tcW w:w="94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430">
              <w:r>
                <w:rPr>
                  <w:rFonts w:ascii="Times New Roman" w:cs="Times New Roman" w:eastAsia="Times New Roman" w:hAnsi="Times New Roman"/>
                  <w:sz w:val="18"/>
                  <w:szCs w:val="18"/>
                  <w:color w:val="0000EE"/>
                  <w:w w:val="99"/>
                </w:rPr>
                <w:t>Warrant Agreement dated January 22, 2021 (incorporated by reference to Exhibit 10.13 to the Form 8-K, filed November 6, 2023).</w:t>
              </w:r>
            </w:hyperlink>
          </w:p>
        </w:tc>
        <w:tc>
          <w:tcPr>
            <w:tcW w:w="280" w:type="dxa"/>
            <w:vAlign w:val="bottom"/>
            <w:gridSpan w:val="8"/>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tcPr>
          <w:p>
            <w:pPr>
              <w:spacing w:after="0"/>
              <w:rPr>
                <w:sz w:val="24"/>
                <w:szCs w:val="24"/>
                <w:color w:val="auto"/>
              </w:rPr>
            </w:pPr>
          </w:p>
        </w:tc>
        <w:tc>
          <w:tcPr>
            <w:tcW w:w="9700" w:type="dxa"/>
            <w:vAlign w:val="bottom"/>
            <w:gridSpan w:val="30"/>
          </w:tcPr>
          <w:p>
            <w:pPr>
              <w:spacing w:after="0"/>
              <w:rPr>
                <w:rFonts w:ascii="Times New Roman" w:cs="Times New Roman" w:eastAsia="Times New Roman" w:hAnsi="Times New Roman"/>
                <w:sz w:val="18"/>
                <w:szCs w:val="18"/>
                <w:color w:val="0000EE"/>
              </w:rPr>
            </w:pPr>
            <w:hyperlink r:id="rId431">
              <w:r>
                <w:rPr>
                  <w:rFonts w:ascii="Times New Roman" w:cs="Times New Roman" w:eastAsia="Times New Roman" w:hAnsi="Times New Roman"/>
                  <w:sz w:val="18"/>
                  <w:szCs w:val="18"/>
                  <w:color w:val="0000EE"/>
                </w:rPr>
                <w:t>Letter from RSM US LLP dated November 6, 2023 (incorporated by reference to Exhibit 16.1 to the Form 8-K, filed November 6,</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31">
              <w:r>
                <w:rPr>
                  <w:rFonts w:ascii="Times New Roman" w:cs="Times New Roman" w:eastAsia="Times New Roman" w:hAnsi="Times New Roman"/>
                  <w:sz w:val="18"/>
                  <w:szCs w:val="18"/>
                  <w:color w:val="0000EE"/>
                  <w:w w:val="94"/>
                </w:rPr>
                <w:t>2023).</w:t>
              </w:r>
            </w:hyperlink>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spacing w:after="0"/>
              <w:rPr>
                <w:sz w:val="24"/>
                <w:szCs w:val="24"/>
                <w:color w:val="auto"/>
              </w:rPr>
            </w:pPr>
          </w:p>
        </w:tc>
        <w:tc>
          <w:tcPr>
            <w:tcW w:w="97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20" w:type="dxa"/>
            <w:vAlign w:val="bottom"/>
            <w:gridSpan w:val="18"/>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2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w:t>
            </w:r>
          </w:p>
        </w:tc>
        <w:tc>
          <w:tcPr>
            <w:tcW w:w="7400" w:type="dxa"/>
            <w:vAlign w:val="bottom"/>
            <w:gridSpan w:val="24"/>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RSM US LLP.</w:t>
            </w:r>
          </w:p>
        </w:tc>
        <w:tc>
          <w:tcPr>
            <w:tcW w:w="7820" w:type="dxa"/>
            <w:vAlign w:val="bottom"/>
            <w:gridSpan w:val="25"/>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40" w:type="dxa"/>
            <w:vAlign w:val="bottom"/>
          </w:tcPr>
          <w:p>
            <w:pPr>
              <w:spacing w:after="0"/>
              <w:rPr>
                <w:sz w:val="24"/>
                <w:szCs w:val="24"/>
                <w:color w:val="auto"/>
              </w:rPr>
            </w:pPr>
          </w:p>
        </w:tc>
        <w:tc>
          <w:tcPr>
            <w:tcW w:w="9700" w:type="dxa"/>
            <w:vAlign w:val="bottom"/>
            <w:gridSpan w:val="30"/>
          </w:tcPr>
          <w:p>
            <w:pPr>
              <w:spacing w:after="0"/>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Consent of Goodwin Procter LLP (included in Exhibit 5.1 hereto).</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3340" w:type="dxa"/>
            <w:vAlign w:val="bottom"/>
            <w:gridSpan w:val="9"/>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20" w:type="dxa"/>
            <w:vAlign w:val="bottom"/>
            <w:gridSpan w:val="18"/>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32">
              <w:r>
                <w:rPr>
                  <w:rFonts w:ascii="Times New Roman" w:cs="Times New Roman" w:eastAsia="Times New Roman" w:hAnsi="Times New Roman"/>
                  <w:sz w:val="18"/>
                  <w:szCs w:val="18"/>
                  <w:color w:val="0000EE"/>
                  <w:w w:val="99"/>
                </w:rPr>
                <w:t>Power of Attorney (included on signature page of initial filing of this registration statement).</w:t>
              </w:r>
            </w:hyperlink>
          </w:p>
        </w:tc>
        <w:tc>
          <w:tcPr>
            <w:tcW w:w="3020" w:type="dxa"/>
            <w:vAlign w:val="bottom"/>
            <w:gridSpan w:val="18"/>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540" w:type="dxa"/>
            <w:vAlign w:val="bottom"/>
          </w:tcPr>
          <w:p>
            <w:pPr>
              <w:spacing w:after="0"/>
              <w:rPr>
                <w:sz w:val="24"/>
                <w:szCs w:val="24"/>
                <w:color w:val="auto"/>
              </w:rPr>
            </w:pPr>
          </w:p>
        </w:tc>
        <w:tc>
          <w:tcPr>
            <w:tcW w:w="1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Power of Attorney.</w:t>
            </w:r>
          </w:p>
        </w:tc>
        <w:tc>
          <w:tcPr>
            <w:tcW w:w="8260" w:type="dxa"/>
            <w:vAlign w:val="bottom"/>
            <w:gridSpan w:val="28"/>
          </w:tcPr>
          <w:p>
            <w:pPr>
              <w:spacing w:after="0"/>
              <w:rPr>
                <w:sz w:val="24"/>
                <w:szCs w:val="24"/>
                <w:color w:val="auto"/>
              </w:rPr>
            </w:pPr>
          </w:p>
        </w:tc>
      </w:tr>
      <w:tr>
        <w:trPr>
          <w:trHeight w:val="345"/>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21"/>
          </w:tcPr>
          <w:p>
            <w:pPr>
              <w:ind w:left="100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140"/>
          </w:cols>
          <w:pgMar w:left="320" w:top="482"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52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118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434">
              <w:r>
                <w:rPr>
                  <w:rFonts w:ascii="Times New Roman" w:cs="Times New Roman" w:eastAsia="Times New Roman" w:hAnsi="Times New Roman"/>
                  <w:sz w:val="18"/>
                  <w:szCs w:val="18"/>
                  <w:color w:val="0000EE"/>
                  <w:w w:val="97"/>
                </w:rPr>
                <w:t>Filing Fee Table</w:t>
              </w:r>
            </w:hyperlink>
          </w:p>
        </w:tc>
        <w:tc>
          <w:tcPr>
            <w:tcW w:w="8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7715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jc w:val="both"/>
        <w:ind w:left="120" w:right="9440" w:hanging="4"/>
        <w:spacing w:after="0" w:line="261" w:lineRule="auto"/>
        <w:tabs>
          <w:tab w:leader="none" w:pos="55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ind w:left="540" w:right="300" w:hanging="432"/>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schedules and exhibits to this agreement have been omitted pursuant to Item 601(b)(2) of Regulation S-K. A copy of any omitted schedule and/or exhibit will be furnished to the SEC upon request.</w:t>
      </w:r>
    </w:p>
    <w:p>
      <w:pPr>
        <w:ind w:left="540" w:right="18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ind w:left="1080" w:hanging="532"/>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2080" w:right="20" w:hanging="533"/>
        <w:spacing w:after="0" w:line="254" w:lineRule="auto"/>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2080" w:right="600" w:hanging="533"/>
        <w:spacing w:after="0" w:line="282" w:lineRule="auto"/>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Times New Roman" w:cs="Times New Roman" w:eastAsia="Times New Roman" w:hAnsi="Times New Roman"/>
          <w:sz w:val="18"/>
          <w:szCs w:val="18"/>
          <w:color w:val="auto"/>
        </w:rPr>
      </w:pPr>
    </w:p>
    <w:p>
      <w:pPr>
        <w:ind w:left="210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90"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82" w:right="4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2080" w:right="120" w:hanging="533"/>
        <w:spacing w:after="0" w:line="282" w:lineRule="auto"/>
        <w:tabs>
          <w:tab w:leader="none" w:pos="208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2080" w:hanging="533"/>
        <w:spacing w:after="0" w:line="253" w:lineRule="auto"/>
        <w:tabs>
          <w:tab w:leader="none" w:pos="208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2080" w:right="160" w:hanging="533"/>
        <w:spacing w:after="0" w:line="282" w:lineRule="auto"/>
        <w:tabs>
          <w:tab w:leader="none" w:pos="208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2080" w:right="60" w:hanging="533"/>
        <w:spacing w:after="0" w:line="282" w:lineRule="auto"/>
        <w:tabs>
          <w:tab w:leader="none" w:pos="208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080" w:right="860" w:hanging="533"/>
        <w:spacing w:after="0" w:line="282" w:lineRule="auto"/>
        <w:tabs>
          <w:tab w:leader="none" w:pos="208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82" w:right="45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Cambridge, Commonwealth of Massachusetts, on December 1, 2023.</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Ram Aiyar</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05"/>
        </w:trPr>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Ram Aiyar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8"/>
                <w:szCs w:val="18"/>
                <w:color w:val="auto"/>
                <w:w w:val="98"/>
              </w:rPr>
              <w:t>/s/ Ram Aiyar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rPr>
              <w:t>Ram Aiyar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0" w:type="dxa"/>
            <w:vAlign w:val="bottom"/>
          </w:tcPr>
          <w:p>
            <w:pPr>
              <w:spacing w:after="0"/>
              <w:rPr>
                <w:sz w:val="19"/>
                <w:szCs w:val="19"/>
                <w:color w:val="auto"/>
              </w:rPr>
            </w:pPr>
          </w:p>
        </w:tc>
      </w:tr>
      <w:tr>
        <w:trPr>
          <w:trHeight w:val="427"/>
        </w:trPr>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8"/>
                <w:szCs w:val="18"/>
                <w:color w:val="auto"/>
                <w:w w:val="99"/>
              </w:rPr>
              <w:t>/s/ Vineet Agarwal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7"/>
              </w:rPr>
              <w:t>Vineet Agarwal</w:t>
            </w:r>
          </w:p>
        </w:tc>
        <w:tc>
          <w:tcPr>
            <w:tcW w:w="120" w:type="dxa"/>
            <w:vAlign w:val="bottom"/>
          </w:tcPr>
          <w:p>
            <w:pPr>
              <w:spacing w:after="0"/>
              <w:rPr>
                <w:sz w:val="19"/>
                <w:szCs w:val="19"/>
                <w:color w:val="auto"/>
              </w:rPr>
            </w:pPr>
          </w:p>
        </w:tc>
        <w:tc>
          <w:tcPr>
            <w:tcW w:w="47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9"/>
              </w:rPr>
              <w:t>Ali Behbahani</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31"/>
              <w:spacing w:after="0"/>
              <w:rPr>
                <w:sz w:val="20"/>
                <w:szCs w:val="20"/>
                <w:color w:val="auto"/>
              </w:rPr>
            </w:pPr>
            <w:r>
              <w:rPr>
                <w:rFonts w:ascii="Times New Roman" w:cs="Times New Roman" w:eastAsia="Times New Roman" w:hAnsi="Times New Roman"/>
                <w:sz w:val="18"/>
                <w:szCs w:val="18"/>
                <w:color w:val="auto"/>
                <w:w w:val="99"/>
              </w:rPr>
              <w:t>Nessan Bermingham</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9"/>
              </w:rPr>
              <w:t>Jean-Francois Formela</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9"/>
              </w:rPr>
              <w:t>David L. Lucchino</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431"/>
              <w:spacing w:after="0"/>
              <w:rPr>
                <w:sz w:val="20"/>
                <w:szCs w:val="20"/>
                <w:color w:val="auto"/>
              </w:rPr>
            </w:pPr>
            <w:r>
              <w:rPr>
                <w:rFonts w:ascii="Times New Roman" w:cs="Times New Roman" w:eastAsia="Times New Roman" w:hAnsi="Times New Roman"/>
                <w:sz w:val="18"/>
                <w:szCs w:val="18"/>
                <w:color w:val="auto"/>
                <w:w w:val="99"/>
              </w:rPr>
              <w:t>/s/ Rachel Meyers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9"/>
              </w:rPr>
              <w:t>Rachel Meyers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rPr>
              <w:t>Timothy Pearson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Ram Aiyar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ectPr>
          <w:pgSz w:w="11900" w:h="16838" w:orient="portrait"/>
          <w:cols w:equalWidth="0" w:num="1">
            <w:col w:w="11140"/>
          </w:cols>
          <w:pgMar w:left="320" w:top="482" w:right="4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37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name of the plan is the Korro Bio, Inc. 2023 Stock Option and Incentive Plan (as amended from time to time, the “Plan”). The purpose of the Plan is to encourage and enable the officers, employees, Non-Employee Directors and Consultants of Korro Bio,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means the U.S. Securities Act of 1933, as amended, and the rules and regulations thereunder.</w:t>
      </w:r>
    </w:p>
    <w:p>
      <w:pPr>
        <w:spacing w:after="0" w:line="225"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158"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8" w:lineRule="exact"/>
        <w:rPr>
          <w:sz w:val="20"/>
          <w:szCs w:val="20"/>
          <w:color w:val="auto"/>
        </w:rPr>
      </w:pPr>
    </w:p>
    <w:p>
      <w:pPr>
        <w:ind w:right="3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Agreement is subject to the terms and conditions of the Plan.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Cash-Based Award</w:t>
      </w:r>
      <w:r>
        <w:rPr>
          <w:rFonts w:ascii="Times New Roman" w:cs="Times New Roman" w:eastAsia="Times New Roman" w:hAnsi="Times New Roman"/>
          <w:sz w:val="18"/>
          <w:szCs w:val="18"/>
          <w:color w:val="auto"/>
        </w:rPr>
        <w:t>” means an Award entitling the recipient to receive a cash-denominated payment.</w:t>
      </w:r>
    </w:p>
    <w:p>
      <w:pPr>
        <w:spacing w:after="0" w:line="225"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Agreement and Plan of Merger by and among Frequency Therapeutics, Inc., the Company and Frequency Merger Sub Inc., dated as of July 14, 2023.</w:t>
      </w:r>
    </w:p>
    <w:p>
      <w:pPr>
        <w:sectPr>
          <w:pgSz w:w="11900" w:h="16838" w:orient="portrait"/>
          <w:cols w:equalWidth="0" w:num="1">
            <w:col w:w="11020"/>
          </w:cols>
          <w:pgMar w:left="440" w:top="117" w:right="439" w:bottom="1440" w:gutter="0" w:footer="0" w:header="0"/>
        </w:sectPr>
      </w:pPr>
    </w:p>
    <w:bookmarkStart w:id="328" w:name="page329"/>
    <w:bookmarkEnd w:id="3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 and any successor Code, and related rules, regulations and interpretations.</w:t>
      </w:r>
    </w:p>
    <w:p>
      <w:pPr>
        <w:spacing w:after="0" w:line="22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Consultant</w:t>
      </w:r>
      <w:r>
        <w:rPr>
          <w:rFonts w:ascii="Times New Roman" w:cs="Times New Roman" w:eastAsia="Times New Roman" w:hAnsi="Times New Roman"/>
          <w:sz w:val="18"/>
          <w:szCs w:val="18"/>
          <w:color w:val="auto"/>
        </w:rPr>
        <w:t>” means a consultant or adviser who provides bona fide services to the Company or an Affiliate as an independent contractor and who qualifies as a consultant or advisor under Instruction A.1.(a)(1) of Form S-8 under the Act.</w:t>
      </w:r>
    </w:p>
    <w:p>
      <w:pPr>
        <w:spacing w:after="0" w:line="158"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 Right</w:t>
      </w:r>
      <w:r>
        <w:rPr>
          <w:rFonts w:ascii="Times New Roman" w:cs="Times New Roman" w:eastAsia="Times New Roman" w:hAnsi="Times New Roman"/>
          <w:sz w:val="18"/>
          <w:szCs w:val="18"/>
          <w:color w:val="auto"/>
        </w:rPr>
        <w:t>” 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the date on which the Plan becomes effective as set forth in Section 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thereunder.</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designated and qualified as 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any option to purchase shares of Stock granted pursuant to Section 5.</w:t>
      </w:r>
    </w:p>
    <w:p>
      <w:pPr>
        <w:spacing w:after="0" w:line="225"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means the shares of Stock underlying a Restricted Stock Award that remain subject to a risk of forfeiture or the Company’s right of repurchase.</w:t>
      </w:r>
    </w:p>
    <w:p>
      <w:pPr>
        <w:spacing w:after="0" w:line="158"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means an Award of Restricted Shares subject to such restrictions and conditions as the Administrator may determine at the time of grant.</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means an Award of stock units subject to such restrictions and conditions as the Administrator may determine at the time of grant.</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8" w:right="519" w:bottom="1440" w:gutter="0" w:footer="0" w:header="0"/>
        </w:sectPr>
      </w:pPr>
    </w:p>
    <w:bookmarkStart w:id="329" w:name="page330"/>
    <w:bookmarkEnd w:id="3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shall mean (i) the sale of all or substantially all of the assets of the Company on a consolidated basis to an unrelated person or entity,</w:t>
      </w:r>
    </w:p>
    <w:p>
      <w:pPr>
        <w:spacing w:after="0" w:line="29" w:lineRule="exact"/>
        <w:rPr>
          <w:sz w:val="20"/>
          <w:szCs w:val="20"/>
          <w:color w:val="auto"/>
        </w:rPr>
      </w:pPr>
    </w:p>
    <w:p>
      <w:pPr>
        <w:jc w:val="both"/>
        <w:ind w:left="4" w:right="40" w:hanging="4"/>
        <w:spacing w:after="0" w:line="265" w:lineRule="auto"/>
        <w:tabs>
          <w:tab w:leader="none" w:pos="269"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reorganization, statutory share exchange, consolidation, or similar transaction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w:t>
      </w:r>
    </w:p>
    <w:p>
      <w:pPr>
        <w:ind w:left="4" w:hanging="4"/>
        <w:spacing w:after="0" w:line="252" w:lineRule="auto"/>
        <w:tabs>
          <w:tab w:leader="none" w:pos="31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of the Stock of the Company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Notwithstanding anything in the foregoing to the contrary, with respect to compensation (A) that is subject to Section 409A of the Code and (B) for which a Sale Event would accelerate the timing of payment thereunder, the term “Sale Event” shall mean an event that is both (I) a Sale Event (as defined above) and (II) a “change in control event” (within the meaning of Section 409A of the Code).</w:t>
      </w:r>
    </w:p>
    <w:p>
      <w:pPr>
        <w:spacing w:after="0" w:line="186" w:lineRule="exact"/>
        <w:rPr>
          <w:sz w:val="20"/>
          <w:szCs w:val="20"/>
          <w:color w:val="auto"/>
        </w:rPr>
      </w:pPr>
    </w:p>
    <w:p>
      <w:pPr>
        <w:ind w:left="4"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promulgated thereunder.</w:t>
      </w:r>
    </w:p>
    <w:p>
      <w:pPr>
        <w:spacing w:after="0" w:line="225"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 Relationship</w:t>
      </w:r>
      <w:r>
        <w:rPr>
          <w:rFonts w:ascii="Times New Roman" w:cs="Times New Roman" w:eastAsia="Times New Roman" w:hAnsi="Times New Roman"/>
          <w:sz w:val="18"/>
          <w:szCs w:val="18"/>
          <w:color w:val="auto"/>
        </w:rPr>
        <w:t>” means any relationship as an employee, Non-Employee Director or Consultant of the Company or any Affiliate. Unless as otherwise set forth in the Award Agreement,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means the Common Stock, par value $0.001 per share, of the Company, subject to adjustments pursuant to Section 3.</w:t>
      </w:r>
    </w:p>
    <w:p>
      <w:pPr>
        <w:spacing w:after="0" w:line="225" w:lineRule="exact"/>
        <w:rPr>
          <w:sz w:val="20"/>
          <w:szCs w:val="20"/>
          <w:color w:val="auto"/>
        </w:rPr>
      </w:pPr>
    </w:p>
    <w:p>
      <w:pPr>
        <w:jc w:val="both"/>
        <w:ind w:left="4" w:right="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Appreciation Right</w:t>
      </w:r>
      <w:r>
        <w:rPr>
          <w:rFonts w:ascii="Times New Roman" w:cs="Times New Roman" w:eastAsia="Times New Roman" w:hAnsi="Times New Roman"/>
          <w:sz w:val="17"/>
          <w:szCs w:val="17"/>
          <w:color w:val="auto"/>
        </w:rPr>
        <w:t>”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55" w:lineRule="exact"/>
        <w:rPr>
          <w:sz w:val="20"/>
          <w:szCs w:val="20"/>
          <w:color w:val="auto"/>
        </w:rPr>
      </w:pPr>
    </w:p>
    <w:p>
      <w:pPr>
        <w:ind w:left="4"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or other entity (other than the Company) in which the Company has at least a 50 percent interest, either directly or indirectly.</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8" w:right="479" w:bottom="1440" w:gutter="0" w:footer="0" w:header="0"/>
        </w:sectPr>
      </w:pPr>
    </w:p>
    <w:bookmarkStart w:id="330" w:name="page331"/>
    <w:bookmarkEnd w:id="330"/>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Ten Percent Owner</w:t>
      </w:r>
      <w:r>
        <w:rPr>
          <w:rFonts w:ascii="Times New Roman" w:cs="Times New Roman" w:eastAsia="Times New Roman" w:hAnsi="Times New Roman"/>
          <w:sz w:val="18"/>
          <w:szCs w:val="18"/>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Stock Award</w:t>
      </w:r>
      <w:r>
        <w:rPr>
          <w:rFonts w:ascii="Times New Roman" w:cs="Times New Roman" w:eastAsia="Times New Roman" w:hAnsi="Times New Roman"/>
          <w:sz w:val="18"/>
          <w:szCs w:val="18"/>
          <w:color w:val="auto"/>
        </w:rPr>
        <w:t>” means an Award of shares of Stock free of any restrictions.</w:t>
      </w:r>
    </w:p>
    <w:p>
      <w:pPr>
        <w:spacing w:after="0" w:line="25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ADMINISTRATION OF PLAN; ADMINISTRATOR AUTHORITY TO SELECT GRANTEES AND DETERMINE AWARDS</w:t>
      </w:r>
    </w:p>
    <w:p>
      <w:pPr>
        <w:spacing w:after="0" w:line="225" w:lineRule="exact"/>
        <w:rPr>
          <w:sz w:val="20"/>
          <w:szCs w:val="20"/>
          <w:color w:val="auto"/>
        </w:rPr>
      </w:pPr>
    </w:p>
    <w:p>
      <w:pPr>
        <w:ind w:left="820" w:hanging="384"/>
        <w:spacing w:after="0"/>
        <w:tabs>
          <w:tab w:leader="none" w:pos="8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225" w:lineRule="exact"/>
        <w:rPr>
          <w:rFonts w:ascii="Times New Roman" w:cs="Times New Roman" w:eastAsia="Times New Roman" w:hAnsi="Times New Roman"/>
          <w:sz w:val="18"/>
          <w:szCs w:val="18"/>
          <w:color w:val="auto"/>
        </w:rPr>
      </w:pPr>
    </w:p>
    <w:p>
      <w:pPr>
        <w:ind w:right="420" w:firstLine="436"/>
        <w:spacing w:after="0" w:line="282" w:lineRule="auto"/>
        <w:tabs>
          <w:tab w:leader="none" w:pos="83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225" w:lineRule="exact"/>
        <w:rPr>
          <w:rFonts w:ascii="Times New Roman" w:cs="Times New Roman" w:eastAsia="Times New Roman" w:hAnsi="Times New Roman"/>
          <w:sz w:val="18"/>
          <w:szCs w:val="18"/>
          <w:color w:val="auto"/>
        </w:rPr>
      </w:pPr>
    </w:p>
    <w:p>
      <w:pPr>
        <w:jc w:val="both"/>
        <w:ind w:right="400" w:firstLine="987"/>
        <w:spacing w:after="0" w:line="266" w:lineRule="auto"/>
        <w:tabs>
          <w:tab w:leader="none" w:pos="139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75"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225" w:lineRule="exact"/>
        <w:rPr>
          <w:rFonts w:ascii="Times New Roman" w:cs="Times New Roman" w:eastAsia="Times New Roman" w:hAnsi="Times New Roman"/>
          <w:sz w:val="18"/>
          <w:szCs w:val="18"/>
          <w:color w:val="auto"/>
        </w:rPr>
      </w:pPr>
    </w:p>
    <w:p>
      <w:pPr>
        <w:jc w:val="both"/>
        <w:ind w:right="180" w:firstLine="987"/>
        <w:spacing w:after="0" w:line="312" w:lineRule="auto"/>
        <w:tabs>
          <w:tab w:leader="none" w:pos="1431"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spacing w:after="0" w:line="139" w:lineRule="exact"/>
        <w:rPr>
          <w:rFonts w:ascii="Times New Roman" w:cs="Times New Roman" w:eastAsia="Times New Roman" w:hAnsi="Times New Roman"/>
          <w:sz w:val="17"/>
          <w:szCs w:val="17"/>
          <w:color w:val="auto"/>
        </w:rPr>
      </w:pPr>
    </w:p>
    <w:p>
      <w:pPr>
        <w:ind w:left="1380" w:hanging="393"/>
        <w:spacing w:after="0"/>
        <w:tabs>
          <w:tab w:leader="none" w:pos="13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43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or 6(d), to extend at any time the period in which Stock Options or Stock Appreciation Rights, respectively, may be exercised; and</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48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40" w:top="268" w:right="579" w:bottom="1440" w:gutter="0" w:footer="0" w:header="0"/>
        </w:sectPr>
      </w:pPr>
    </w:p>
    <w:bookmarkStart w:id="331" w:name="page332"/>
    <w:bookmarkEnd w:id="331"/>
    <w:p>
      <w:pPr>
        <w:ind w:right="20" w:firstLine="436"/>
        <w:spacing w:after="0" w:line="255" w:lineRule="auto"/>
        <w:tabs>
          <w:tab w:leader="none" w:pos="8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8" w:lineRule="exact"/>
        <w:rPr>
          <w:rFonts w:ascii="Times New Roman" w:cs="Times New Roman" w:eastAsia="Times New Roman" w:hAnsi="Times New Roman"/>
          <w:sz w:val="18"/>
          <w:szCs w:val="18"/>
          <w:color w:val="auto"/>
        </w:rPr>
      </w:pPr>
    </w:p>
    <w:p>
      <w:pPr>
        <w:ind w:right="60" w:firstLine="436"/>
        <w:spacing w:after="0" w:line="312" w:lineRule="auto"/>
        <w:tabs>
          <w:tab w:leader="none" w:pos="83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spacing w:after="0" w:line="139" w:lineRule="exact"/>
        <w:rPr>
          <w:rFonts w:ascii="Times New Roman" w:cs="Times New Roman" w:eastAsia="Times New Roman" w:hAnsi="Times New Roman"/>
          <w:sz w:val="17"/>
          <w:szCs w:val="17"/>
          <w:color w:val="auto"/>
        </w:rPr>
      </w:pPr>
    </w:p>
    <w:p>
      <w:pPr>
        <w:ind w:right="220" w:firstLine="436"/>
        <w:spacing w:after="0" w:line="256" w:lineRule="auto"/>
        <w:tabs>
          <w:tab w:leader="none" w:pos="8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32" w:name="page333"/>
    <w:bookmarkEnd w:id="332"/>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17" w:lineRule="exact"/>
        <w:rPr>
          <w:sz w:val="20"/>
          <w:szCs w:val="20"/>
          <w:color w:val="auto"/>
        </w:rPr>
      </w:pPr>
    </w:p>
    <w:p>
      <w:pPr>
        <w:ind w:firstLine="436"/>
        <w:spacing w:after="0" w:line="252" w:lineRule="auto"/>
        <w:tabs>
          <w:tab w:leader="none" w:pos="8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885,028 shares (the “Initial Limit”), plus on January 1, 2024 and on each January 1 thereafter, the number of shares of Stock reserved and available for issuance under the Plan shall be cumulatively increased by five percent (5%) of the number of shares of Common Stock issued and outstanding on the immediately preceding December 31, or such lesser number of shares as approved by the Administrator, in all cases subject to adjustment as provided in this Section 3(c) (the “Annual Increase”). Subject to such overall limitation, the maximum aggregate number of shares of Stock that may be issued in the form of Incentive Stock Options shall not exceed the Initial Limit cumulatively increased on January 1, 2024 and on each January 1 thereafter by the lesser of the Annual Increase for such year or 885,028 shares of Stock, subject in all cases to adjustment as provided in Section 3(c). For purposes of this Plan, the shares of Stock underlying any awards under the Plan and the shares of Common Stock of the Company underlying any awards under the Company’s 2019 Stock Incentive Plan, Frequency Therapeutics, Inc. 2014 Equity Incentive Plan or the Frequency Therapeutics, Inc. 2019 Incentive Award Plan, each as amended from time to time,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83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for services as a Non-Employee Director in any calendar year shall not exceed: (i) $1,000,000 in the first calendar year an individual becomes a Non-Employee Director and (ii) $750,000 in any other calendar year. For the purpose of this limitation, the value of any Award shall be its grant date fair value, as determined in accordance with ASC Topic 718 or successor provision but excluding the impact of estimated forfeitures related to service-based vesting provisions.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33" w:name="page334"/>
    <w:bookmarkEnd w:id="333"/>
    <w:p>
      <w:pPr>
        <w:ind w:right="20" w:firstLine="436"/>
        <w:spacing w:after="0" w:line="252" w:lineRule="auto"/>
        <w:tabs>
          <w:tab w:leader="none" w:pos="8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94" w:lineRule="exact"/>
        <w:rPr>
          <w:rFonts w:ascii="Times New Roman" w:cs="Times New Roman" w:eastAsia="Times New Roman" w:hAnsi="Times New Roman"/>
          <w:sz w:val="18"/>
          <w:szCs w:val="18"/>
          <w:color w:val="auto"/>
        </w:rPr>
      </w:pPr>
    </w:p>
    <w:p>
      <w:pPr>
        <w:ind w:firstLine="436"/>
        <w:spacing w:after="0" w:line="251" w:lineRule="auto"/>
        <w:tabs>
          <w:tab w:leader="none" w:pos="83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that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(i) not vested and/or exercisable immediately prior to the effective time of the Sale Event and (ii) held by grantees who have had a continuous Service Relationship with the Company or any of its Affiliates for at least one year prior to the effective time of the Sale Event shall become fully vested and exercisable as of the effective time of the Sale Event, all other Awards held by grantees (A) who have had a continuous Service Relationship with the Company or any of its Affiliates for at least one year prior to the effective time of the Sale Event and (B) that are subject solely to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34" w:name="page335"/>
    <w:bookmarkEnd w:id="334"/>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OPTIONS</w:t>
      </w:r>
    </w:p>
    <w:p>
      <w:pPr>
        <w:spacing w:after="0" w:line="117" w:lineRule="exact"/>
        <w:rPr>
          <w:sz w:val="20"/>
          <w:szCs w:val="20"/>
          <w:color w:val="auto"/>
        </w:rPr>
      </w:pPr>
    </w:p>
    <w:p>
      <w:pPr>
        <w:ind w:right="220" w:firstLine="436"/>
        <w:spacing w:after="0" w:line="282" w:lineRule="auto"/>
        <w:tabs>
          <w:tab w:leader="none" w:pos="8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6" w:lineRule="exact"/>
        <w:rPr>
          <w:sz w:val="20"/>
          <w:szCs w:val="20"/>
          <w:color w:val="auto"/>
        </w:rPr>
      </w:pPr>
    </w:p>
    <w:p>
      <w:pPr>
        <w:jc w:val="both"/>
        <w:ind w:right="120" w:firstLine="436"/>
        <w:spacing w:after="0" w:line="270" w:lineRule="auto"/>
        <w:tabs>
          <w:tab w:leader="none" w:pos="83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date of grant. Notwithstanding the foregoing, Stock Options may be granted with an exercise price per share that is less than</w:t>
      </w:r>
    </w:p>
    <w:p>
      <w:pPr>
        <w:spacing w:after="0" w:line="2" w:lineRule="exact"/>
        <w:rPr>
          <w:rFonts w:ascii="Times New Roman" w:cs="Times New Roman" w:eastAsia="Times New Roman" w:hAnsi="Times New Roman"/>
          <w:sz w:val="17"/>
          <w:szCs w:val="17"/>
          <w:color w:val="auto"/>
        </w:rPr>
      </w:pPr>
    </w:p>
    <w:p>
      <w:pPr>
        <w:ind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85" w:lineRule="exact"/>
        <w:rPr>
          <w:rFonts w:ascii="Times New Roman" w:cs="Times New Roman" w:eastAsia="Times New Roman" w:hAnsi="Times New Roman"/>
          <w:sz w:val="17"/>
          <w:szCs w:val="17"/>
          <w:color w:val="auto"/>
        </w:rPr>
      </w:pPr>
    </w:p>
    <w:p>
      <w:pPr>
        <w:ind w:right="120" w:firstLine="436"/>
        <w:spacing w:after="0" w:line="266" w:lineRule="auto"/>
        <w:tabs>
          <w:tab w:leader="none" w:pos="8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35" w:name="page336"/>
    <w:bookmarkEnd w:id="335"/>
    <w:p>
      <w:pPr>
        <w:ind w:right="20" w:firstLine="436"/>
        <w:spacing w:after="0" w:line="261" w:lineRule="auto"/>
        <w:tabs>
          <w:tab w:leader="none" w:pos="83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8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25" w:lineRule="exact"/>
        <w:rPr>
          <w:rFonts w:ascii="Times New Roman" w:cs="Times New Roman" w:eastAsia="Times New Roman" w:hAnsi="Times New Roman"/>
          <w:sz w:val="18"/>
          <w:szCs w:val="18"/>
          <w:color w:val="auto"/>
        </w:rPr>
      </w:pPr>
    </w:p>
    <w:p>
      <w:pPr>
        <w:ind w:right="200" w:firstLine="987"/>
        <w:spacing w:after="0" w:line="312" w:lineRule="auto"/>
        <w:tabs>
          <w:tab w:leader="none" w:pos="1388"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39" w:lineRule="exact"/>
        <w:rPr>
          <w:rFonts w:ascii="Times New Roman" w:cs="Times New Roman" w:eastAsia="Times New Roman" w:hAnsi="Times New Roman"/>
          <w:sz w:val="17"/>
          <w:szCs w:val="17"/>
          <w:color w:val="auto"/>
        </w:rPr>
      </w:pPr>
    </w:p>
    <w:p>
      <w:pPr>
        <w:jc w:val="both"/>
        <w:ind w:right="80" w:firstLine="987"/>
        <w:spacing w:after="0" w:line="261" w:lineRule="auto"/>
        <w:tabs>
          <w:tab w:leader="none" w:pos="144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42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36" w:name="page337"/>
    <w:bookmarkEnd w:id="336"/>
    <w:p>
      <w:pPr>
        <w:ind w:firstLine="436"/>
        <w:spacing w:after="0" w:line="255" w:lineRule="auto"/>
        <w:tabs>
          <w:tab w:leader="none" w:pos="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Limit on Incentive Stock Options</w:t>
      </w:r>
      <w:r>
        <w:rPr>
          <w:rFonts w:ascii="Times New Roman" w:cs="Times New Roman" w:eastAsia="Times New Roman" w:hAnsi="Times New Roman"/>
          <w:sz w:val="18"/>
          <w:szCs w:val="18"/>
          <w:color w:val="auto"/>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 For purposes of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Incentive Stock Options will be taken into account in the order in which they were granted, the Fair Market Value of the shares of Stock will be determined as of the time the Stock Option with respect to such shares of Stock is granted, and calculation will be performed in accordance with Section 422 of the Code and Treasury Regulations promulgated thereunder.</w:t>
      </w:r>
    </w:p>
    <w:p>
      <w:pPr>
        <w:spacing w:after="0" w:line="33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17" w:lineRule="exact"/>
        <w:rPr>
          <w:sz w:val="20"/>
          <w:szCs w:val="20"/>
          <w:color w:val="auto"/>
        </w:rPr>
      </w:pPr>
    </w:p>
    <w:p>
      <w:pPr>
        <w:ind w:right="60" w:firstLine="436"/>
        <w:spacing w:after="0" w:line="261" w:lineRule="auto"/>
        <w:tabs>
          <w:tab w:leader="none" w:pos="8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83" w:lineRule="exact"/>
        <w:rPr>
          <w:rFonts w:ascii="Times New Roman" w:cs="Times New Roman" w:eastAsia="Times New Roman" w:hAnsi="Times New Roman"/>
          <w:sz w:val="18"/>
          <w:szCs w:val="18"/>
          <w:color w:val="auto"/>
        </w:rPr>
      </w:pPr>
    </w:p>
    <w:p>
      <w:pPr>
        <w:ind w:right="380" w:firstLine="436"/>
        <w:spacing w:after="0" w:line="282" w:lineRule="auto"/>
        <w:tabs>
          <w:tab w:leader="none" w:pos="8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1" w:lineRule="exact"/>
        <w:rPr>
          <w:rFonts w:ascii="Times New Roman" w:cs="Times New Roman" w:eastAsia="Times New Roman" w:hAnsi="Times New Roman"/>
          <w:sz w:val="18"/>
          <w:szCs w:val="18"/>
          <w:color w:val="auto"/>
        </w:rPr>
      </w:pPr>
    </w:p>
    <w:p>
      <w:pPr>
        <w:ind w:right="280" w:firstLine="436"/>
        <w:spacing w:after="0" w:line="266" w:lineRule="auto"/>
        <w:tabs>
          <w:tab w:leader="none" w:pos="83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17" w:lineRule="exact"/>
        <w:rPr>
          <w:sz w:val="20"/>
          <w:szCs w:val="20"/>
          <w:color w:val="auto"/>
        </w:rPr>
      </w:pPr>
    </w:p>
    <w:p>
      <w:pPr>
        <w:ind w:firstLine="436"/>
        <w:spacing w:after="0" w:line="266" w:lineRule="auto"/>
        <w:tabs>
          <w:tab w:leader="none" w:pos="8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37" w:name="page338"/>
    <w:bookmarkEnd w:id="337"/>
    <w:p>
      <w:pPr>
        <w:ind w:right="100" w:firstLine="436"/>
        <w:spacing w:after="0" w:line="254" w:lineRule="auto"/>
        <w:tabs>
          <w:tab w:leader="none" w:pos="83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8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8"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83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17" w:lineRule="exact"/>
        <w:rPr>
          <w:sz w:val="20"/>
          <w:szCs w:val="20"/>
          <w:color w:val="auto"/>
        </w:rPr>
      </w:pPr>
    </w:p>
    <w:p>
      <w:pPr>
        <w:ind w:right="20" w:firstLine="436"/>
        <w:spacing w:after="0" w:line="277" w:lineRule="auto"/>
        <w:tabs>
          <w:tab w:leader="none" w:pos="82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Restricted Stock Units</w:t>
      </w:r>
      <w:r>
        <w:rPr>
          <w:rFonts w:ascii="Times New Roman" w:cs="Times New Roman" w:eastAsia="Times New Roman" w:hAnsi="Times New Roman"/>
          <w:sz w:val="17"/>
          <w:szCs w:val="17"/>
          <w:color w:val="auto"/>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38" w:name="page339"/>
    <w:bookmarkEnd w:id="338"/>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 and shall contain such additional terms and conditions as the Administrator shall determine in its sole discretion in order to comply with the requirements of Section 409A.</w:t>
      </w:r>
    </w:p>
    <w:p>
      <w:pPr>
        <w:spacing w:after="0" w:line="162" w:lineRule="exact"/>
        <w:rPr>
          <w:sz w:val="20"/>
          <w:szCs w:val="20"/>
          <w:color w:val="auto"/>
        </w:rPr>
      </w:pPr>
    </w:p>
    <w:p>
      <w:pPr>
        <w:ind w:right="140" w:firstLine="436"/>
        <w:spacing w:after="0" w:line="257" w:lineRule="auto"/>
        <w:tabs>
          <w:tab w:leader="none" w:pos="83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w:t>
      </w:r>
    </w:p>
    <w:p>
      <w:pPr>
        <w:spacing w:after="0" w:line="1" w:lineRule="exact"/>
        <w:rPr>
          <w:rFonts w:ascii="Times New Roman" w:cs="Times New Roman" w:eastAsia="Times New Roman" w:hAnsi="Times New Roman"/>
          <w:sz w:val="18"/>
          <w:szCs w:val="18"/>
          <w:color w:val="auto"/>
        </w:rPr>
      </w:pPr>
    </w:p>
    <w:p>
      <w:pPr>
        <w:ind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spacing w:after="0" w:line="189" w:lineRule="exact"/>
        <w:rPr>
          <w:rFonts w:ascii="Times New Roman" w:cs="Times New Roman" w:eastAsia="Times New Roman" w:hAnsi="Times New Roman"/>
          <w:sz w:val="18"/>
          <w:szCs w:val="18"/>
          <w:color w:val="auto"/>
        </w:rPr>
      </w:pPr>
    </w:p>
    <w:p>
      <w:pPr>
        <w:ind w:firstLine="436"/>
        <w:spacing w:after="0" w:line="266" w:lineRule="auto"/>
        <w:tabs>
          <w:tab w:leader="none" w:pos="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75" w:lineRule="exact"/>
        <w:rPr>
          <w:rFonts w:ascii="Times New Roman" w:cs="Times New Roman" w:eastAsia="Times New Roman" w:hAnsi="Times New Roman"/>
          <w:sz w:val="18"/>
          <w:szCs w:val="18"/>
          <w:color w:val="auto"/>
        </w:rPr>
      </w:pPr>
    </w:p>
    <w:p>
      <w:pPr>
        <w:ind w:right="220" w:firstLine="436"/>
        <w:spacing w:after="0" w:line="266" w:lineRule="auto"/>
        <w:tabs>
          <w:tab w:leader="none" w:pos="83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7"/>
          <w:szCs w:val="17"/>
          <w:u w:val="single" w:color="auto"/>
          <w:color w:val="auto"/>
        </w:rPr>
        <w:t>CASH-BASED AWARDS</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including continued employment (or other Service Relationship).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39" w:name="page340"/>
    <w:bookmarkEnd w:id="339"/>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w:t>
      </w:r>
      <w:r>
        <w:rPr>
          <w:sz w:val="20"/>
          <w:szCs w:val="20"/>
          <w:color w:val="auto"/>
        </w:rPr>
        <w:tab/>
      </w:r>
      <w:r>
        <w:rPr>
          <w:rFonts w:ascii="Times New Roman" w:cs="Times New Roman" w:eastAsia="Times New Roman" w:hAnsi="Times New Roman"/>
          <w:sz w:val="17"/>
          <w:szCs w:val="17"/>
          <w:u w:val="single" w:color="auto"/>
          <w:color w:val="auto"/>
        </w:rPr>
        <w:t>DIVIDEND EQUIVALENT RIGHTS</w:t>
      </w:r>
    </w:p>
    <w:p>
      <w:pPr>
        <w:spacing w:after="0" w:line="117" w:lineRule="exact"/>
        <w:rPr>
          <w:sz w:val="20"/>
          <w:szCs w:val="20"/>
          <w:color w:val="auto"/>
        </w:rPr>
      </w:pPr>
    </w:p>
    <w:p>
      <w:pPr>
        <w:ind w:right="60" w:firstLine="436"/>
        <w:spacing w:after="0" w:line="253" w:lineRule="auto"/>
        <w:tabs>
          <w:tab w:leader="none" w:pos="8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91" w:lineRule="exact"/>
        <w:rPr>
          <w:rFonts w:ascii="Times New Roman" w:cs="Times New Roman" w:eastAsia="Times New Roman" w:hAnsi="Times New Roman"/>
          <w:sz w:val="18"/>
          <w:szCs w:val="18"/>
          <w:color w:val="auto"/>
        </w:rPr>
      </w:pPr>
    </w:p>
    <w:p>
      <w:pPr>
        <w:ind w:right="180" w:firstLine="436"/>
        <w:spacing w:after="0" w:line="266" w:lineRule="auto"/>
        <w:tabs>
          <w:tab w:leader="none" w:pos="8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TRANSFERABILITY OF AWARDS</w:t>
      </w:r>
    </w:p>
    <w:p>
      <w:pPr>
        <w:spacing w:after="0" w:line="117" w:lineRule="exact"/>
        <w:rPr>
          <w:sz w:val="20"/>
          <w:szCs w:val="20"/>
          <w:color w:val="auto"/>
        </w:rPr>
      </w:pPr>
    </w:p>
    <w:p>
      <w:pPr>
        <w:ind w:right="60" w:firstLine="436"/>
        <w:spacing w:after="0" w:line="258" w:lineRule="auto"/>
        <w:tabs>
          <w:tab w:leader="none" w:pos="8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Agreement regarding a given Award or by subsequent written approval that the grantee (who is an employee or Non-Employee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40" w:name="page341"/>
    <w:bookmarkEnd w:id="340"/>
    <w:p>
      <w:pPr>
        <w:ind w:right="60" w:firstLine="436"/>
        <w:spacing w:after="0" w:line="258" w:lineRule="auto"/>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TAX WITHHOLDING</w:t>
      </w:r>
    </w:p>
    <w:p>
      <w:pPr>
        <w:spacing w:after="0" w:line="117" w:lineRule="exact"/>
        <w:rPr>
          <w:sz w:val="20"/>
          <w:szCs w:val="20"/>
          <w:color w:val="auto"/>
        </w:rPr>
      </w:pPr>
    </w:p>
    <w:p>
      <w:pPr>
        <w:ind w:right="80" w:firstLine="436"/>
        <w:spacing w:after="0" w:line="255" w:lineRule="auto"/>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8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41" w:name="page342"/>
    <w:bookmarkEnd w:id="341"/>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w:t>
      </w:r>
      <w:r>
        <w:rPr>
          <w:sz w:val="20"/>
          <w:szCs w:val="20"/>
          <w:color w:val="auto"/>
        </w:rPr>
        <w:tab/>
      </w:r>
      <w:r>
        <w:rPr>
          <w:rFonts w:ascii="Times New Roman" w:cs="Times New Roman" w:eastAsia="Times New Roman" w:hAnsi="Times New Roman"/>
          <w:sz w:val="17"/>
          <w:szCs w:val="17"/>
          <w:u w:val="single" w:color="auto"/>
          <w:color w:val="auto"/>
        </w:rPr>
        <w:t>SECTION 409A AWARDS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21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u w:val="single" w:color="auto"/>
          <w:color w:val="auto"/>
        </w:rPr>
        <w:t>TERMINATION OF SERVICE RELATIONSHIP, TRANSFER, LEAVE OF ABSENCE, ETC.</w:t>
      </w:r>
    </w:p>
    <w:p>
      <w:pPr>
        <w:spacing w:after="0" w:line="225" w:lineRule="exact"/>
        <w:rPr>
          <w:sz w:val="20"/>
          <w:szCs w:val="20"/>
          <w:color w:val="auto"/>
        </w:rPr>
      </w:pPr>
    </w:p>
    <w:p>
      <w:pPr>
        <w:ind w:right="40" w:firstLine="436"/>
        <w:spacing w:after="0" w:line="282"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61"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Service Relationship of the Company from an Affiliate or from the Company to an Affiliate, or from one Affiliate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or</w:t>
      </w:r>
    </w:p>
    <w:p>
      <w:pPr>
        <w:spacing w:after="0" w:line="206" w:lineRule="exact"/>
        <w:rPr>
          <w:rFonts w:ascii="Times New Roman" w:cs="Times New Roman" w:eastAsia="Times New Roman" w:hAnsi="Times New Roman"/>
          <w:sz w:val="18"/>
          <w:szCs w:val="18"/>
          <w:color w:val="auto"/>
        </w:rPr>
      </w:pPr>
    </w:p>
    <w:p>
      <w:pPr>
        <w:ind w:right="160" w:firstLine="987"/>
        <w:spacing w:after="0" w:line="282" w:lineRule="auto"/>
        <w:tabs>
          <w:tab w:leader="none" w:pos="139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if the employee’s right to re-employment is guaranteed either by a statute or by contract or under the policy pursuant to which the leave of absence was granted or if the Administrator otherwise so provides in writing.</w:t>
      </w:r>
    </w:p>
    <w:p>
      <w:pPr>
        <w:spacing w:after="0" w:line="3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7"/>
          <w:szCs w:val="17"/>
          <w:u w:val="single" w:color="auto"/>
          <w:color w:val="auto"/>
        </w:rPr>
        <w:t>AMENDMENTS AND TERMINATION</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42" w:name="page343"/>
    <w:bookmarkEnd w:id="342"/>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w:t>
      </w:r>
      <w:r>
        <w:rPr>
          <w:sz w:val="20"/>
          <w:szCs w:val="20"/>
          <w:color w:val="auto"/>
        </w:rPr>
        <w:tab/>
      </w:r>
      <w:r>
        <w:rPr>
          <w:rFonts w:ascii="Times New Roman" w:cs="Times New Roman" w:eastAsia="Times New Roman" w:hAnsi="Times New Roman"/>
          <w:sz w:val="17"/>
          <w:szCs w:val="17"/>
          <w:u w:val="single" w:color="auto"/>
          <w:color w:val="auto"/>
        </w:rPr>
        <w:t>STATUS OF PLAN</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7"/>
          <w:szCs w:val="17"/>
          <w:u w:val="single" w:color="auto"/>
          <w:color w:val="auto"/>
        </w:rPr>
        <w:t>GENERAL PROVISIONS</w:t>
      </w:r>
    </w:p>
    <w:p>
      <w:pPr>
        <w:spacing w:after="0" w:line="117" w:lineRule="exact"/>
        <w:rPr>
          <w:sz w:val="20"/>
          <w:szCs w:val="20"/>
          <w:color w:val="auto"/>
        </w:rPr>
      </w:pPr>
    </w:p>
    <w:p>
      <w:pPr>
        <w:ind w:right="640" w:firstLine="436"/>
        <w:spacing w:after="0" w:line="282" w:lineRule="auto"/>
        <w:tabs>
          <w:tab w:leader="none" w:pos="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61" w:lineRule="exact"/>
        <w:rPr>
          <w:rFonts w:ascii="Times New Roman" w:cs="Times New Roman" w:eastAsia="Times New Roman" w:hAnsi="Times New Roman"/>
          <w:sz w:val="18"/>
          <w:szCs w:val="18"/>
          <w:color w:val="auto"/>
        </w:rPr>
      </w:pPr>
    </w:p>
    <w:p>
      <w:pPr>
        <w:ind w:right="60" w:firstLine="436"/>
        <w:spacing w:after="0" w:line="268" w:lineRule="auto"/>
        <w:tabs>
          <w:tab w:leader="none" w:pos="83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Stock</w:t>
      </w:r>
      <w:r>
        <w:rPr>
          <w:rFonts w:ascii="Times New Roman" w:cs="Times New Roman" w:eastAsia="Times New Roman" w:hAnsi="Times New Roman"/>
          <w:sz w:val="17"/>
          <w:szCs w:val="17"/>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43" w:name="page344"/>
    <w:bookmarkEnd w:id="343"/>
    <w:p>
      <w:pPr>
        <w:ind w:right="360" w:firstLine="436"/>
        <w:spacing w:after="0" w:line="266" w:lineRule="auto"/>
        <w:tabs>
          <w:tab w:leader="none" w:pos="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5"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83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Incentive Arrangements; No Rights to Continued Service Relationship</w:t>
      </w:r>
      <w:r>
        <w:rPr>
          <w:rFonts w:ascii="Times New Roman" w:cs="Times New Roman" w:eastAsia="Times New Roman" w:hAnsi="Times New Roman"/>
          <w:sz w:val="18"/>
          <w:szCs w:val="18"/>
          <w:color w:val="auto"/>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spacing w:after="0" w:line="179" w:lineRule="exact"/>
        <w:rPr>
          <w:rFonts w:ascii="Times New Roman" w:cs="Times New Roman" w:eastAsia="Times New Roman" w:hAnsi="Times New Roman"/>
          <w:sz w:val="18"/>
          <w:szCs w:val="18"/>
          <w:color w:val="auto"/>
        </w:rPr>
      </w:pPr>
    </w:p>
    <w:p>
      <w:pPr>
        <w:ind w:right="60" w:firstLine="436"/>
        <w:spacing w:after="0" w:line="282" w:lineRule="auto"/>
        <w:tabs>
          <w:tab w:leader="none" w:pos="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61" w:lineRule="exact"/>
        <w:rPr>
          <w:rFonts w:ascii="Times New Roman" w:cs="Times New Roman" w:eastAsia="Times New Roman" w:hAnsi="Times New Roman"/>
          <w:sz w:val="18"/>
          <w:szCs w:val="18"/>
          <w:color w:val="auto"/>
        </w:rPr>
      </w:pPr>
    </w:p>
    <w:p>
      <w:pPr>
        <w:ind w:right="80" w:firstLine="436"/>
        <w:spacing w:after="0" w:line="256" w:lineRule="auto"/>
        <w:tabs>
          <w:tab w:leader="none" w:pos="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 In addition, the Administrator may impose such other clawback, recovery, or recoupment provisions in an Award Agreement as the Administrator determines necessary or appropriate, including, but not limited to, a reacquisition right in respect of previously acquired shares of Stock or other cash or property upon the occurrence of a termination for “cause” under any agreement with the Company or an Affiliate thereof. No recovery of compensation under such a clawback policy will be an event giving rise to a right to resign for “good reason” or “constructive termination” (or similar term) under any agreement with the Company or an Affiliate thereof.</w:t>
      </w:r>
    </w:p>
    <w:p>
      <w:pPr>
        <w:spacing w:after="0" w:line="187" w:lineRule="exact"/>
        <w:rPr>
          <w:rFonts w:ascii="Times New Roman" w:cs="Times New Roman" w:eastAsia="Times New Roman" w:hAnsi="Times New Roman"/>
          <w:sz w:val="18"/>
          <w:szCs w:val="18"/>
          <w:color w:val="auto"/>
        </w:rPr>
      </w:pPr>
    </w:p>
    <w:p>
      <w:pPr>
        <w:ind w:right="40" w:firstLine="436"/>
        <w:spacing w:after="0" w:line="266" w:lineRule="auto"/>
        <w:tabs>
          <w:tab w:leader="none" w:pos="83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7"/>
          <w:szCs w:val="17"/>
          <w:u w:val="single" w:color="auto"/>
          <w:color w:val="auto"/>
        </w:rPr>
        <w:t>EFFECTIVE DATE OF PLAN</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Closing Date subject to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44" w:name="page345"/>
    <w:bookmarkEnd w:id="344"/>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w:t>
      </w:r>
      <w:r>
        <w:rPr>
          <w:sz w:val="20"/>
          <w:szCs w:val="20"/>
          <w:color w:val="auto"/>
        </w:rPr>
        <w:tab/>
      </w:r>
      <w:r>
        <w:rPr>
          <w:rFonts w:ascii="Times New Roman" w:cs="Times New Roman" w:eastAsia="Times New Roman" w:hAnsi="Times New Roman"/>
          <w:sz w:val="17"/>
          <w:szCs w:val="17"/>
          <w:u w:val="single" w:color="auto"/>
          <w:color w:val="auto"/>
        </w:rPr>
        <w:t>GOVERNING LAW</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November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November 3, 2023</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45" w:name="page346"/>
    <w:bookmarkEnd w:id="34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STOCK OPTION AGREEMENT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208534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8001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3"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-5080</wp:posOffset>
            </wp:positionV>
            <wp:extent cx="7423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9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[FMV on Grant Date (110% of FMV if a 10% owner)]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8001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8001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[up to 10 years (5 if a 10% owner)]</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180" w:lineRule="exact"/>
        <w:rPr>
          <w:sz w:val="20"/>
          <w:szCs w:val="20"/>
          <w:color w:val="auto"/>
        </w:rPr>
      </w:pPr>
    </w:p>
    <w:p>
      <w:pPr>
        <w:ind w:right="80" w:firstLine="436"/>
        <w:spacing w:after="0" w:line="261" w:lineRule="auto"/>
        <w:tabs>
          <w:tab w:leader="none" w:pos="75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below so long as the Optionee continues to have a Service Relationship with the Company or a Subsidiary on such dates:</w:t>
      </w:r>
    </w:p>
    <w:p>
      <w:pPr>
        <w:spacing w:after="0" w:line="190"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3700" w:type="dxa"/>
            <w:vAlign w:val="bottom"/>
          </w:tcPr>
          <w:p>
            <w:pPr>
              <w:jc w:val="center"/>
              <w:ind w:right="2048"/>
              <w:spacing w:after="0"/>
              <w:rPr>
                <w:sz w:val="20"/>
                <w:szCs w:val="20"/>
                <w:color w:val="auto"/>
              </w:rPr>
            </w:pPr>
            <w:r>
              <w:rPr>
                <w:rFonts w:ascii="Times New Roman" w:cs="Times New Roman" w:eastAsia="Times New Roman" w:hAnsi="Times New Roman"/>
                <w:sz w:val="14"/>
                <w:szCs w:val="14"/>
                <w:color w:val="auto"/>
              </w:rPr>
              <w:t>Incremental Number of</w:t>
            </w:r>
          </w:p>
        </w:tc>
        <w:tc>
          <w:tcPr>
            <w:tcW w:w="320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88"/>
        </w:trPr>
        <w:tc>
          <w:tcPr>
            <w:tcW w:w="3700" w:type="dxa"/>
            <w:vAlign w:val="bottom"/>
          </w:tcPr>
          <w:p>
            <w:pPr>
              <w:jc w:val="center"/>
              <w:ind w:right="2048"/>
              <w:spacing w:after="0"/>
              <w:rPr>
                <w:sz w:val="20"/>
                <w:szCs w:val="20"/>
                <w:color w:val="auto"/>
              </w:rPr>
            </w:pPr>
            <w:r>
              <w:rPr>
                <w:rFonts w:ascii="Times New Roman" w:cs="Times New Roman" w:eastAsia="Times New Roman" w:hAnsi="Times New Roman"/>
                <w:sz w:val="14"/>
                <w:szCs w:val="14"/>
                <w:u w:val="single" w:color="auto"/>
                <w:color w:val="auto"/>
              </w:rPr>
              <w:t>Option Shares Exercisable*</w:t>
            </w:r>
          </w:p>
        </w:tc>
        <w:tc>
          <w:tcPr>
            <w:tcW w:w="3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wp:posOffset>
            </wp:positionV>
            <wp:extent cx="335153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-567690</wp:posOffset>
            </wp:positionV>
            <wp:extent cx="11233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-567690</wp:posOffset>
            </wp:positionV>
            <wp:extent cx="5715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Max. of $100,000 per yr.</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0860"/>
          </w:cols>
          <w:pgMar w:left="440" w:top="266" w:right="599" w:bottom="1440" w:gutter="0" w:footer="0" w:header="0"/>
        </w:sectPr>
      </w:pPr>
    </w:p>
    <w:bookmarkStart w:id="346" w:name="page347"/>
    <w:bookmarkEnd w:id="346"/>
    <w:p>
      <w:pPr>
        <w:ind w:left="760" w:hanging="324"/>
        <w:spacing w:after="0"/>
        <w:tabs>
          <w:tab w:leader="none" w:pos="7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Manner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80" w:firstLine="987"/>
        <w:spacing w:after="0" w:line="266" w:lineRule="auto"/>
        <w:tabs>
          <w:tab w:leader="none" w:pos="136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8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firstLine="987"/>
        <w:spacing w:after="0" w:line="255" w:lineRule="auto"/>
        <w:tabs>
          <w:tab w:leader="none" w:pos="137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47" w:name="page348"/>
    <w:bookmarkEnd w:id="347"/>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sz w:val="20"/>
          <w:szCs w:val="20"/>
          <w:color w:val="auto"/>
        </w:rPr>
        <w:tab/>
      </w:r>
      <w:r>
        <w:rPr>
          <w:rFonts w:ascii="Times New Roman" w:cs="Times New Roman" w:eastAsia="Times New Roman" w:hAnsi="Times New Roman"/>
          <w:sz w:val="17"/>
          <w:szCs w:val="17"/>
          <w:color w:val="auto"/>
        </w:rPr>
        <w:t>Notwithstanding any other provision hereof or of the Plan, no portion of this Stock Option shall be exercisable after the Expiration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ind w:right="420" w:firstLine="436"/>
        <w:spacing w:after="0" w:line="282" w:lineRule="auto"/>
        <w:tabs>
          <w:tab w:leader="none" w:pos="7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37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38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the Optionee’s disability shall terminate immediately and be of no further force or effect.</w:t>
      </w:r>
    </w:p>
    <w:p>
      <w:pPr>
        <w:spacing w:after="0" w:line="187" w:lineRule="exact"/>
        <w:rPr>
          <w:rFonts w:ascii="Times New Roman" w:cs="Times New Roman" w:eastAsia="Times New Roman" w:hAnsi="Times New Roman"/>
          <w:sz w:val="18"/>
          <w:szCs w:val="18"/>
          <w:color w:val="auto"/>
        </w:rPr>
      </w:pPr>
    </w:p>
    <w:p>
      <w:pPr>
        <w:ind w:right="20" w:firstLine="987"/>
        <w:spacing w:after="0" w:line="256" w:lineRule="auto"/>
        <w:tabs>
          <w:tab w:leader="none" w:pos="137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87" w:lineRule="exact"/>
        <w:rPr>
          <w:rFonts w:ascii="Times New Roman" w:cs="Times New Roman" w:eastAsia="Times New Roman" w:hAnsi="Times New Roman"/>
          <w:sz w:val="18"/>
          <w:szCs w:val="18"/>
          <w:color w:val="auto"/>
        </w:rPr>
      </w:pPr>
    </w:p>
    <w:p>
      <w:pPr>
        <w:ind w:firstLine="987"/>
        <w:spacing w:after="0" w:line="258" w:lineRule="auto"/>
        <w:tabs>
          <w:tab w:leader="none" w:pos="138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48" w:name="page349"/>
    <w:bookmarkEnd w:id="348"/>
    <w:p>
      <w:pPr>
        <w:jc w:val="both"/>
        <w:ind w:firstLine="436"/>
        <w:spacing w:after="0" w:line="266" w:lineRule="auto"/>
        <w:tabs>
          <w:tab w:leader="none" w:pos="7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240" w:firstLine="436"/>
        <w:spacing w:after="0" w:line="266" w:lineRule="auto"/>
        <w:tabs>
          <w:tab w:leader="none" w:pos="7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40" w:firstLine="436"/>
        <w:spacing w:after="0" w:line="254" w:lineRule="auto"/>
        <w:tabs>
          <w:tab w:leader="none" w:pos="7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Stock Option</w:t>
      </w:r>
      <w:r>
        <w:rPr>
          <w:rFonts w:ascii="Times New Roman" w:cs="Times New Roman" w:eastAsia="Times New Roman" w:hAnsi="Times New Roman"/>
          <w:sz w:val="18"/>
          <w:szCs w:val="18"/>
          <w:color w:val="auto"/>
        </w:rPr>
        <w:t xml:space="preserve">.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 w:cs="Times New Roman" w:eastAsia="Times New Roman" w:hAnsi="Times New Roman"/>
          <w:sz w:val="18"/>
          <w:szCs w:val="18"/>
          <w:b w:val="1"/>
          <w:bCs w:val="1"/>
          <w:i w:val="1"/>
          <w:iCs w:val="1"/>
          <w:color w:val="auto"/>
        </w:rPr>
        <w:t>this Stock Option must be exercised within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three months after termination of employment as an employee (or 12 months in the case of death or disability) to qualify as an “incentive stock option.</w:t>
      </w:r>
      <w:r>
        <w:rPr>
          <w:rFonts w:ascii="Times New Roman" w:cs="Times New Roman" w:eastAsia="Times New Roman" w:hAnsi="Times New Roman"/>
          <w:sz w:val="18"/>
          <w:szCs w:val="18"/>
          <w:color w:val="auto"/>
        </w:rPr>
        <w:t>” To the extent any portion of this Stock Option does not so qualify as an “incentive stock option,” such portion shall be deemed to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88" w:lineRule="exact"/>
        <w:rPr>
          <w:rFonts w:ascii="Times New Roman" w:cs="Times New Roman" w:eastAsia="Times New Roman" w:hAnsi="Times New Roman"/>
          <w:sz w:val="18"/>
          <w:szCs w:val="18"/>
          <w:color w:val="auto"/>
        </w:rPr>
      </w:pPr>
    </w:p>
    <w:p>
      <w:pPr>
        <w:ind w:right="20" w:firstLine="436"/>
        <w:spacing w:after="0" w:line="255" w:lineRule="auto"/>
        <w:tabs>
          <w:tab w:leader="none" w:pos="7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7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49" w:name="page350"/>
    <w:bookmarkEnd w:id="349"/>
    <w:p>
      <w:pPr>
        <w:ind w:left="4" w:right="260" w:firstLine="436"/>
        <w:spacing w:after="0" w:line="282" w:lineRule="auto"/>
        <w:tabs>
          <w:tab w:leader="none" w:pos="7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8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jc w:val="both"/>
        <w:ind w:left="4" w:right="60" w:firstLine="436"/>
        <w:spacing w:after="0" w:line="266" w:lineRule="auto"/>
        <w:tabs>
          <w:tab w:leader="none" w:pos="84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84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xml:space="preserve">. The Optionee acknowledges that the Optionee may become subject to the Korro Bio,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Executive’s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Condition (as defined in the Optionee’s employment agreement with the Company) or serve as a basis for a claim of constructive termination under any benefits or compensation arrangement applicable to the Optionee, or (ii) to constitute a breach of a contract or other arrangement to which the Optionee is a party. This Section 12 is a material term of this Agreement.]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715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 w:lineRule="exact"/>
        <w:rPr>
          <w:sz w:val="20"/>
          <w:szCs w:val="20"/>
          <w:color w:val="auto"/>
        </w:rPr>
      </w:pPr>
    </w:p>
    <w:p>
      <w:pPr>
        <w:ind w:left="424" w:right="660" w:hanging="424"/>
        <w:spacing w:after="0" w:line="208" w:lineRule="auto"/>
        <w:tabs>
          <w:tab w:leader="none" w:pos="424" w:val="left"/>
        </w:tabs>
        <w:numPr>
          <w:ilvl w:val="0"/>
          <w:numId w:val="1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Section 16 officers only (which includes the entire executive team after closing of the merger). Provision should be included once the clawback policy is adopted.</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350" w:name="page351"/>
    <w:bookmarkEnd w:id="350"/>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440" w:top="266" w:right="739" w:bottom="1440" w:gutter="0" w:footer="0" w:header="0"/>
        </w:sectPr>
      </w:pPr>
    </w:p>
    <w:bookmarkStart w:id="351" w:name="page352"/>
    <w:bookmarkEnd w:id="3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NON-QUALIFIED STOCK OPTION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COMPANY CONSULTANTS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208534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8001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3"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Option Exercise Price per Share:</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-5080</wp:posOffset>
            </wp:positionV>
            <wp:extent cx="74231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8001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8001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8001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3" w:lineRule="exact"/>
        <w:rPr>
          <w:sz w:val="20"/>
          <w:szCs w:val="20"/>
          <w:color w:val="auto"/>
        </w:rPr>
      </w:pPr>
    </w:p>
    <w:p>
      <w:pPr>
        <w:ind w:right="200" w:firstLine="436"/>
        <w:spacing w:after="0" w:line="266" w:lineRule="auto"/>
        <w:tabs>
          <w:tab w:leader="none" w:pos="75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w:t>
      </w:r>
    </w:p>
    <w:p>
      <w:pPr>
        <w:spacing w:after="0" w:line="5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w w:val="99"/>
              </w:rPr>
              <w:t>], so long as Optionee continues to have a Service Relationship with the Company or a Subsidiary on</w:t>
            </w: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such dates.</w:t>
            </w:r>
          </w:p>
        </w:tc>
        <w:tc>
          <w:tcPr>
            <w:tcW w:w="1120" w:type="dxa"/>
            <w:vAlign w:val="bottom"/>
          </w:tcPr>
          <w:p>
            <w:pPr>
              <w:spacing w:after="0"/>
              <w:rPr>
                <w:sz w:val="20"/>
                <w:szCs w:val="20"/>
                <w:color w:val="auto"/>
              </w:rPr>
            </w:pPr>
          </w:p>
        </w:tc>
        <w:tc>
          <w:tcPr>
            <w:tcW w:w="7280" w:type="dxa"/>
            <w:vAlign w:val="bottom"/>
          </w:tcPr>
          <w:p>
            <w:pPr>
              <w:spacing w:after="0"/>
              <w:rPr>
                <w:sz w:val="20"/>
                <w:szCs w:val="20"/>
                <w:color w:val="auto"/>
              </w:rPr>
            </w:pPr>
          </w:p>
        </w:tc>
      </w:tr>
    </w:tbl>
    <w:p>
      <w:pPr>
        <w:spacing w:after="0" w:line="198"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pacing w:after="0" w:line="162" w:lineRule="exact"/>
        <w:rPr>
          <w:sz w:val="20"/>
          <w:szCs w:val="20"/>
          <w:color w:val="auto"/>
        </w:rPr>
      </w:pPr>
    </w:p>
    <w:p>
      <w:pPr>
        <w:ind w:left="760" w:hanging="324"/>
        <w:spacing w:after="0"/>
        <w:tabs>
          <w:tab w:leader="none" w:pos="7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80" w:firstLine="987"/>
        <w:spacing w:after="0" w:line="266" w:lineRule="auto"/>
        <w:tabs>
          <w:tab w:leader="none" w:pos="1368"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ectPr>
          <w:pgSz w:w="11900" w:h="16838" w:orient="portrait"/>
          <w:cols w:equalWidth="0" w:num="1">
            <w:col w:w="10980"/>
          </w:cols>
          <w:pgMar w:left="440" w:top="266" w:right="479" w:bottom="1440" w:gutter="0" w:footer="0" w:header="0"/>
        </w:sectPr>
      </w:pPr>
    </w:p>
    <w:bookmarkStart w:id="352" w:name="page353"/>
    <w:bookmarkEnd w:id="35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right="20" w:firstLine="987"/>
        <w:spacing w:after="0" w:line="255" w:lineRule="auto"/>
        <w:tabs>
          <w:tab w:leader="none" w:pos="137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8"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53" w:name="page354"/>
    <w:bookmarkEnd w:id="353"/>
    <w:p>
      <w:pPr>
        <w:ind w:right="120" w:firstLine="436"/>
        <w:spacing w:after="0" w:line="266" w:lineRule="auto"/>
        <w:tabs>
          <w:tab w:leader="none" w:pos="7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Service Relationship</w:t>
      </w:r>
      <w:r>
        <w:rPr>
          <w:rFonts w:ascii="Times New Roman" w:cs="Times New Roman" w:eastAsia="Times New Roman" w:hAnsi="Times New Roman"/>
          <w:sz w:val="18"/>
          <w:szCs w:val="18"/>
          <w:color w:val="auto"/>
        </w:rPr>
        <w:t>. Except as may otherwise be provided by the Administrator, if the Optionee’s Service Relationship with the Company or a Subsidiary (as defined in the Plan) is terminated, the period within which to exercise the Stock Option may be subject to earlier termination as set forth below.</w:t>
      </w:r>
    </w:p>
    <w:p>
      <w:pPr>
        <w:spacing w:after="0" w:line="175" w:lineRule="exact"/>
        <w:rPr>
          <w:rFonts w:ascii="Times New Roman" w:cs="Times New Roman" w:eastAsia="Times New Roman" w:hAnsi="Times New Roman"/>
          <w:sz w:val="18"/>
          <w:szCs w:val="18"/>
          <w:color w:val="auto"/>
        </w:rPr>
      </w:pPr>
    </w:p>
    <w:p>
      <w:pPr>
        <w:ind w:right="140" w:firstLine="987"/>
        <w:spacing w:after="0" w:line="261" w:lineRule="auto"/>
        <w:tabs>
          <w:tab w:leader="none" w:pos="137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right="120" w:firstLine="987"/>
        <w:spacing w:after="0" w:line="258" w:lineRule="auto"/>
        <w:tabs>
          <w:tab w:leader="none" w:pos="138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spacing w:after="0" w:line="183" w:lineRule="exact"/>
        <w:rPr>
          <w:rFonts w:ascii="Times New Roman" w:cs="Times New Roman" w:eastAsia="Times New Roman" w:hAnsi="Times New Roman"/>
          <w:sz w:val="18"/>
          <w:szCs w:val="18"/>
          <w:color w:val="auto"/>
        </w:rPr>
      </w:pPr>
    </w:p>
    <w:p>
      <w:pPr>
        <w:ind w:right="20" w:firstLine="987"/>
        <w:spacing w:after="0" w:line="274" w:lineRule="auto"/>
        <w:tabs>
          <w:tab w:leader="none" w:pos="1371"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 consulting or other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72" w:lineRule="exact"/>
        <w:rPr>
          <w:rFonts w:ascii="Times New Roman" w:cs="Times New Roman" w:eastAsia="Times New Roman" w:hAnsi="Times New Roman"/>
          <w:sz w:val="17"/>
          <w:szCs w:val="17"/>
          <w:color w:val="auto"/>
        </w:rPr>
      </w:pPr>
    </w:p>
    <w:p>
      <w:pPr>
        <w:ind w:firstLine="987"/>
        <w:spacing w:after="0" w:line="258" w:lineRule="auto"/>
        <w:tabs>
          <w:tab w:leader="none" w:pos="138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54" w:name="page355"/>
    <w:bookmarkEnd w:id="354"/>
    <w:p>
      <w:pPr>
        <w:jc w:val="both"/>
        <w:ind w:firstLine="436"/>
        <w:spacing w:after="0" w:line="266" w:lineRule="auto"/>
        <w:tabs>
          <w:tab w:leader="none" w:pos="7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240" w:firstLine="436"/>
        <w:spacing w:after="0" w:line="266" w:lineRule="auto"/>
        <w:tabs>
          <w:tab w:leader="none" w:pos="7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7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Optionee’s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9" w:lineRule="exact"/>
        <w:rPr>
          <w:rFonts w:ascii="Times New Roman" w:cs="Times New Roman" w:eastAsia="Times New Roman" w:hAnsi="Times New Roman"/>
          <w:sz w:val="18"/>
          <w:szCs w:val="18"/>
          <w:color w:val="auto"/>
        </w:rPr>
      </w:pPr>
    </w:p>
    <w:p>
      <w:pPr>
        <w:ind w:right="280" w:firstLine="436"/>
        <w:spacing w:after="0" w:line="282" w:lineRule="auto"/>
        <w:tabs>
          <w:tab w:leader="none" w:pos="7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7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right="80" w:firstLine="436"/>
        <w:spacing w:after="0" w:line="266" w:lineRule="auto"/>
        <w:tabs>
          <w:tab w:leader="none" w:pos="7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55" w:name="page356"/>
    <w:bookmarkEnd w:id="355"/>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440" w:top="266" w:right="739"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NON-QUALIFIED STOCK OPTION AGREEMENT</w:t>
            </w:r>
          </w:p>
        </w:tc>
      </w:t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NON-EMPLOYEE DIRECTORS</w:t>
            </w:r>
          </w:p>
        </w:tc>
      </w:t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UNDER THE KORRO BIO, INC.</w:t>
            </w:r>
          </w:p>
        </w:tc>
      </w:tr>
      <w:tr>
        <w:trPr>
          <w:trHeight w:val="238"/>
        </w:trPr>
        <w:tc>
          <w:tcPr>
            <w:tcW w:w="2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 STOCK OPTION AND INCENTIVE PLAN</w:t>
            </w:r>
          </w:p>
        </w:tc>
      </w:tr>
      <w:tr>
        <w:trPr>
          <w:trHeight w:val="41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7"/>
        </w:trPr>
        <w:tc>
          <w:tcPr>
            <w:tcW w:w="2780" w:type="dxa"/>
            <w:vAlign w:val="bottom"/>
          </w:tcPr>
          <w:p>
            <w:pPr>
              <w:spacing w:after="0"/>
              <w:rPr>
                <w:sz w:val="20"/>
                <w:szCs w:val="20"/>
                <w:color w:val="auto"/>
              </w:rPr>
            </w:pPr>
          </w:p>
        </w:tc>
        <w:tc>
          <w:tcPr>
            <w:tcW w:w="47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[FMV on Grant Date]</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7"/>
        </w:trPr>
        <w:tc>
          <w:tcPr>
            <w:tcW w:w="2780" w:type="dxa"/>
            <w:vAlign w:val="bottom"/>
          </w:tcPr>
          <w:p>
            <w:pPr>
              <w:spacing w:after="0"/>
              <w:rPr>
                <w:sz w:val="20"/>
                <w:szCs w:val="20"/>
                <w:color w:val="auto"/>
              </w:rPr>
            </w:pPr>
          </w:p>
        </w:tc>
        <w:tc>
          <w:tcPr>
            <w:tcW w:w="47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[No more than 10 years]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firstLine="440"/>
        <w:spacing w:after="0" w:line="25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to the Optionee named above, who is a Non-Employee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7" w:lineRule="exact"/>
        <w:rPr>
          <w:sz w:val="20"/>
          <w:szCs w:val="20"/>
          <w:color w:val="auto"/>
        </w:rPr>
      </w:pPr>
    </w:p>
    <w:p>
      <w:pPr>
        <w:ind w:right="120" w:firstLine="436"/>
        <w:spacing w:after="0" w:line="261" w:lineRule="auto"/>
        <w:tabs>
          <w:tab w:leader="none" w:pos="7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below so long as the Optionee continues to serve as a member of the Company’s Board of Directors on such dates:</w:t>
      </w:r>
    </w:p>
    <w:p>
      <w:pPr>
        <w:spacing w:after="0" w:line="190"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3660" w:type="dxa"/>
            <w:vAlign w:val="bottom"/>
          </w:tcPr>
          <w:p>
            <w:pPr>
              <w:jc w:val="center"/>
              <w:ind w:right="2048"/>
              <w:spacing w:after="0"/>
              <w:rPr>
                <w:sz w:val="20"/>
                <w:szCs w:val="20"/>
                <w:color w:val="auto"/>
              </w:rPr>
            </w:pPr>
            <w:r>
              <w:rPr>
                <w:rFonts w:ascii="Times New Roman" w:cs="Times New Roman" w:eastAsia="Times New Roman" w:hAnsi="Times New Roman"/>
                <w:sz w:val="14"/>
                <w:szCs w:val="14"/>
                <w:color w:val="auto"/>
              </w:rPr>
              <w:t>Incremental Number of</w:t>
            </w:r>
          </w:p>
        </w:tc>
        <w:tc>
          <w:tcPr>
            <w:tcW w:w="322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88"/>
        </w:trPr>
        <w:tc>
          <w:tcPr>
            <w:tcW w:w="3660" w:type="dxa"/>
            <w:vAlign w:val="bottom"/>
          </w:tcPr>
          <w:p>
            <w:pPr>
              <w:jc w:val="center"/>
              <w:ind w:right="2048"/>
              <w:spacing w:after="0"/>
              <w:rPr>
                <w:sz w:val="20"/>
                <w:szCs w:val="20"/>
                <w:color w:val="auto"/>
              </w:rPr>
            </w:pPr>
            <w:r>
              <w:rPr>
                <w:rFonts w:ascii="Times New Roman" w:cs="Times New Roman" w:eastAsia="Times New Roman" w:hAnsi="Times New Roman"/>
                <w:sz w:val="14"/>
                <w:szCs w:val="14"/>
                <w:u w:val="single" w:color="auto"/>
                <w:color w:val="auto"/>
              </w:rPr>
              <w:t>Option Shares Exercisable</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-1905</wp:posOffset>
            </wp:positionV>
            <wp:extent cx="335153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-567690</wp:posOffset>
            </wp:positionV>
            <wp:extent cx="112331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-567690</wp:posOffset>
            </wp:positionV>
            <wp:extent cx="5715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900"/>
          </w:cols>
          <w:pgMar w:left="440" w:top="266" w:right="559" w:bottom="1440" w:gutter="0" w:footer="0" w:header="0"/>
        </w:sectPr>
      </w:pPr>
    </w:p>
    <w:bookmarkStart w:id="357" w:name="page358"/>
    <w:bookmarkEnd w:id="35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in the event of a Sale Event, 100% of the then-outstanding and unvested Option Shares shall immediately be deemed vested and exercisable on the date of such Sale Event; provided, that the Optionee continues to serve as a member of the Company’s Board of Directors until the date of such Sale Event. Once exercisable, this Stock Option shall continue to be exercisable at any time or times prior to the close of business on the Expiration Date, subject to the provisions hereof and of the Plan.</w:t>
      </w:r>
    </w:p>
    <w:p>
      <w:pPr>
        <w:spacing w:after="0" w:line="288" w:lineRule="exact"/>
        <w:rPr>
          <w:sz w:val="20"/>
          <w:szCs w:val="20"/>
          <w:color w:val="auto"/>
        </w:rPr>
      </w:pPr>
    </w:p>
    <w:p>
      <w:pPr>
        <w:ind w:left="760" w:hanging="324"/>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0" w:firstLine="987"/>
        <w:spacing w:after="0" w:line="266" w:lineRule="auto"/>
        <w:tabs>
          <w:tab w:leader="none" w:pos="136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58" w:name="page359"/>
    <w:bookmarkEnd w:id="358"/>
    <w:p>
      <w:pPr>
        <w:ind w:right="20" w:firstLine="987"/>
        <w:spacing w:after="0" w:line="255" w:lineRule="auto"/>
        <w:tabs>
          <w:tab w:leader="none" w:pos="137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88"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6" w:lineRule="exact"/>
        <w:rPr>
          <w:rFonts w:ascii="Times New Roman" w:cs="Times New Roman" w:eastAsia="Times New Roman" w:hAnsi="Times New Roman"/>
          <w:sz w:val="18"/>
          <w:szCs w:val="18"/>
          <w:color w:val="auto"/>
        </w:rPr>
      </w:pPr>
    </w:p>
    <w:p>
      <w:pPr>
        <w:ind w:firstLine="436"/>
        <w:spacing w:after="0" w:line="282" w:lineRule="auto"/>
        <w:tabs>
          <w:tab w:leader="none" w:pos="7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If the Optionee ceases to serve as a member of the Company’s Board of Directors,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37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 ceases to serve as a member of the Company’s Board of Director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right="100" w:firstLine="987"/>
        <w:spacing w:after="0" w:line="258" w:lineRule="auto"/>
        <w:tabs>
          <w:tab w:leader="none" w:pos="138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 ceases to serve as a member of the Company’s Board of Director for any reason other than the Optionee’s death, any portion of this Stock Option outstanding on such date may be exercised, to the extent exercisable on the date the Optionee ceased its service as a member of the Company’s Board of Directors, for a period of six months from the date the Optionee ceased its service as a member of the Company’s Board of Directors or until the Expiration Date, if earlier. Any portion of this Stock Option that is not exercisable on the date the Optionee ceases to serve as a member of the Company’s Board of Director shall terminate immediately and be of no further force or effect.</w:t>
      </w:r>
    </w:p>
    <w:p>
      <w:pPr>
        <w:spacing w:after="0" w:line="183" w:lineRule="exact"/>
        <w:rPr>
          <w:rFonts w:ascii="Times New Roman" w:cs="Times New Roman" w:eastAsia="Times New Roman" w:hAnsi="Times New Roman"/>
          <w:sz w:val="18"/>
          <w:szCs w:val="18"/>
          <w:color w:val="auto"/>
        </w:rPr>
      </w:pPr>
    </w:p>
    <w:p>
      <w:pPr>
        <w:jc w:val="both"/>
        <w:ind w:firstLine="436"/>
        <w:spacing w:after="0" w:line="266" w:lineRule="auto"/>
        <w:tabs>
          <w:tab w:leader="none" w:pos="7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220" w:firstLine="436"/>
        <w:spacing w:after="0" w:line="266" w:lineRule="auto"/>
        <w:tabs>
          <w:tab w:leader="none" w:pos="7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100" w:firstLine="436"/>
        <w:spacing w:after="0" w:line="282" w:lineRule="auto"/>
        <w:tabs>
          <w:tab w:leader="none" w:pos="7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as a Service Provider</w:t>
      </w:r>
      <w:r>
        <w:rPr>
          <w:rFonts w:ascii="Times New Roman" w:cs="Times New Roman" w:eastAsia="Times New Roman" w:hAnsi="Times New Roman"/>
          <w:sz w:val="18"/>
          <w:szCs w:val="18"/>
          <w:color w:val="auto"/>
        </w:rPr>
        <w:t>. Neither the Plan nor this Stock Option confers upon the Optionee any rights with respect to continuance as a Non-Employee Director or any other service provider of the Company or a Subsidiary.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359" w:name="page360"/>
    <w:bookmarkEnd w:id="359"/>
    <w:p>
      <w:pPr>
        <w:ind w:left="-20" w:right="260" w:firstLine="436"/>
        <w:spacing w:after="0" w:line="282" w:lineRule="auto"/>
        <w:tabs>
          <w:tab w:leader="none" w:pos="7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7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7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70" w:right="479" w:bottom="1440" w:gutter="0" w:footer="0" w:header="0"/>
        </w:sectPr>
      </w:pPr>
    </w:p>
    <w:bookmarkStart w:id="360" w:name="page361"/>
    <w:bookmarkEnd w:id="360"/>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440" w:top="266" w:right="73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NON-QUALIFIED STOCK OPTION AGREEMENT</w:t>
            </w:r>
          </w:p>
        </w:tc>
      </w:t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 COMPANY EMPLOYEES</w:t>
            </w:r>
          </w:p>
        </w:tc>
      </w:t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UNDER THE KORRO BIO, INC.</w:t>
            </w:r>
          </w:p>
        </w:tc>
      </w:tr>
      <w:tr>
        <w:trPr>
          <w:trHeight w:val="238"/>
        </w:trPr>
        <w:tc>
          <w:tcPr>
            <w:tcW w:w="2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 STOCK OPTION AND INCENTIVE PLAN</w:t>
            </w:r>
          </w:p>
        </w:tc>
      </w:tr>
      <w:tr>
        <w:trPr>
          <w:trHeight w:val="418"/>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5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7"/>
        </w:trPr>
        <w:tc>
          <w:tcPr>
            <w:tcW w:w="2780" w:type="dxa"/>
            <w:vAlign w:val="bottom"/>
          </w:tcPr>
          <w:p>
            <w:pPr>
              <w:spacing w:after="0"/>
              <w:rPr>
                <w:sz w:val="20"/>
                <w:szCs w:val="20"/>
                <w:color w:val="auto"/>
              </w:rPr>
            </w:pPr>
          </w:p>
        </w:tc>
        <w:tc>
          <w:tcPr>
            <w:tcW w:w="478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[FMV on Grant Date]</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3" w:lineRule="exact"/>
        <w:rPr>
          <w:sz w:val="20"/>
          <w:szCs w:val="20"/>
          <w:color w:val="auto"/>
        </w:rPr>
      </w:pPr>
    </w:p>
    <w:p>
      <w:pPr>
        <w:ind w:firstLine="436"/>
        <w:spacing w:after="0" w:line="261" w:lineRule="auto"/>
        <w:tabs>
          <w:tab w:leader="none" w:pos="7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below so long as Optionee continues to have a Service Relationship with the Company or a Subsidiary on such dates:</w:t>
      </w:r>
    </w:p>
    <w:p>
      <w:pPr>
        <w:spacing w:after="0" w:line="190"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3660" w:type="dxa"/>
            <w:vAlign w:val="bottom"/>
          </w:tcPr>
          <w:p>
            <w:pPr>
              <w:jc w:val="center"/>
              <w:ind w:right="2048"/>
              <w:spacing w:after="0"/>
              <w:rPr>
                <w:sz w:val="20"/>
                <w:szCs w:val="20"/>
                <w:color w:val="auto"/>
              </w:rPr>
            </w:pPr>
            <w:r>
              <w:rPr>
                <w:rFonts w:ascii="Times New Roman" w:cs="Times New Roman" w:eastAsia="Times New Roman" w:hAnsi="Times New Roman"/>
                <w:sz w:val="14"/>
                <w:szCs w:val="14"/>
                <w:color w:val="auto"/>
              </w:rPr>
              <w:t>Incremental Number of</w:t>
            </w:r>
          </w:p>
        </w:tc>
        <w:tc>
          <w:tcPr>
            <w:tcW w:w="3220" w:type="dxa"/>
            <w:vAlign w:val="bottom"/>
            <w:vMerge w:val="restart"/>
          </w:tcPr>
          <w:p>
            <w:pPr>
              <w:ind w:left="2120"/>
              <w:spacing w:after="0"/>
              <w:rPr>
                <w:sz w:val="20"/>
                <w:szCs w:val="20"/>
                <w:color w:val="auto"/>
              </w:rPr>
            </w:pPr>
            <w:r>
              <w:rPr>
                <w:rFonts w:ascii="Times New Roman" w:cs="Times New Roman" w:eastAsia="Times New Roman" w:hAnsi="Times New Roman"/>
                <w:sz w:val="14"/>
                <w:szCs w:val="14"/>
                <w:color w:val="auto"/>
              </w:rPr>
              <w:t>Exercisability Date</w:t>
            </w:r>
          </w:p>
        </w:tc>
        <w:tc>
          <w:tcPr>
            <w:tcW w:w="0" w:type="dxa"/>
            <w:vAlign w:val="bottom"/>
          </w:tcPr>
          <w:p>
            <w:pPr>
              <w:spacing w:after="0"/>
              <w:rPr>
                <w:sz w:val="1"/>
                <w:szCs w:val="1"/>
                <w:color w:val="auto"/>
              </w:rPr>
            </w:pPr>
          </w:p>
        </w:tc>
      </w:tr>
      <w:tr>
        <w:trPr>
          <w:trHeight w:val="188"/>
        </w:trPr>
        <w:tc>
          <w:tcPr>
            <w:tcW w:w="3660" w:type="dxa"/>
            <w:vAlign w:val="bottom"/>
          </w:tcPr>
          <w:p>
            <w:pPr>
              <w:jc w:val="center"/>
              <w:ind w:right="2048"/>
              <w:spacing w:after="0"/>
              <w:rPr>
                <w:sz w:val="20"/>
                <w:szCs w:val="20"/>
                <w:color w:val="auto"/>
              </w:rPr>
            </w:pPr>
            <w:r>
              <w:rPr>
                <w:rFonts w:ascii="Times New Roman" w:cs="Times New Roman" w:eastAsia="Times New Roman" w:hAnsi="Times New Roman"/>
                <w:sz w:val="14"/>
                <w:szCs w:val="14"/>
                <w:u w:val="single" w:color="auto"/>
                <w:color w:val="auto"/>
              </w:rPr>
              <w:t>Option Shares Exercisable</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-1905</wp:posOffset>
            </wp:positionV>
            <wp:extent cx="335153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-567690</wp:posOffset>
            </wp:positionV>
            <wp:extent cx="112331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-567690</wp:posOffset>
            </wp:positionV>
            <wp:extent cx="5715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0980"/>
          </w:cols>
          <w:pgMar w:left="440" w:top="266" w:right="479" w:bottom="1440" w:gutter="0" w:footer="0" w:header="0"/>
        </w:sectPr>
      </w:pPr>
    </w:p>
    <w:bookmarkStart w:id="362" w:name="page363"/>
    <w:bookmarkEnd w:id="362"/>
    <w:p>
      <w:pPr>
        <w:ind w:left="760" w:hanging="324"/>
        <w:spacing w:after="0"/>
        <w:tabs>
          <w:tab w:leader="none" w:pos="7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36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9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89" w:lineRule="exact"/>
        <w:rPr>
          <w:sz w:val="20"/>
          <w:szCs w:val="20"/>
          <w:color w:val="auto"/>
        </w:rPr>
      </w:pPr>
    </w:p>
    <w:p>
      <w:pPr>
        <w:ind w:right="20" w:firstLine="987"/>
        <w:spacing w:after="0" w:line="255" w:lineRule="auto"/>
        <w:tabs>
          <w:tab w:leader="none" w:pos="137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63" w:name="page364"/>
    <w:bookmarkEnd w:id="363"/>
    <w:p>
      <w:pPr>
        <w:ind w:left="984"/>
        <w:spacing w:after="0"/>
        <w:tabs>
          <w:tab w:leader="none" w:pos="13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sz w:val="20"/>
          <w:szCs w:val="20"/>
          <w:color w:val="auto"/>
        </w:rPr>
        <w:tab/>
      </w:r>
      <w:r>
        <w:rPr>
          <w:rFonts w:ascii="Times New Roman" w:cs="Times New Roman" w:eastAsia="Times New Roman" w:hAnsi="Times New Roman"/>
          <w:sz w:val="17"/>
          <w:szCs w:val="17"/>
          <w:color w:val="auto"/>
        </w:rPr>
        <w:t>Notwithstanding any other provision hereof or of the Plan, no portion of this Stock Option shall be exercisable after the Expiration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ind w:left="4" w:right="420" w:firstLine="436"/>
        <w:spacing w:after="0" w:line="282" w:lineRule="auto"/>
        <w:tabs>
          <w:tab w:leader="none" w:pos="759"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161"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375"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9" w:lineRule="exact"/>
        <w:rPr>
          <w:rFonts w:ascii="Times New Roman" w:cs="Times New Roman" w:eastAsia="Times New Roman" w:hAnsi="Times New Roman"/>
          <w:sz w:val="18"/>
          <w:szCs w:val="18"/>
          <w:color w:val="auto"/>
        </w:rPr>
      </w:pPr>
    </w:p>
    <w:p>
      <w:pPr>
        <w:ind w:left="4" w:right="120" w:firstLine="987"/>
        <w:spacing w:after="0" w:line="277" w:lineRule="auto"/>
        <w:tabs>
          <w:tab w:leader="none" w:pos="1385" w:val="left"/>
        </w:tabs>
        <w:numPr>
          <w:ilvl w:val="2"/>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Due to Disability</w:t>
      </w:r>
      <w:r>
        <w:rPr>
          <w:rFonts w:ascii="Times New Roman" w:cs="Times New Roman" w:eastAsia="Times New Roman" w:hAnsi="Times New Roman"/>
          <w:sz w:val="17"/>
          <w:szCs w:val="17"/>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disability shall terminate immediately and be of no further force or effect.</w:t>
      </w:r>
    </w:p>
    <w:p>
      <w:pPr>
        <w:spacing w:after="0" w:line="167" w:lineRule="exact"/>
        <w:rPr>
          <w:rFonts w:ascii="Times New Roman" w:cs="Times New Roman" w:eastAsia="Times New Roman" w:hAnsi="Times New Roman"/>
          <w:sz w:val="17"/>
          <w:szCs w:val="17"/>
          <w:color w:val="auto"/>
        </w:rPr>
      </w:pPr>
    </w:p>
    <w:p>
      <w:pPr>
        <w:ind w:left="4" w:right="20" w:firstLine="987"/>
        <w:spacing w:after="0" w:line="270" w:lineRule="auto"/>
        <w:tabs>
          <w:tab w:leader="none" w:pos="1375" w:val="left"/>
        </w:tabs>
        <w:numPr>
          <w:ilvl w:val="2"/>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other service agreement between the Company and the Optionee, a determination by the Administrator that the Optionee shall be dismissed as a result of (i) any material breach by the Optionee of any agreement between the Optionee and the Company;</w:t>
      </w:r>
    </w:p>
    <w:p>
      <w:pPr>
        <w:spacing w:after="0" w:line="2" w:lineRule="exact"/>
        <w:rPr>
          <w:rFonts w:ascii="Times New Roman" w:cs="Times New Roman" w:eastAsia="Times New Roman" w:hAnsi="Times New Roman"/>
          <w:sz w:val="17"/>
          <w:szCs w:val="17"/>
          <w:color w:val="auto"/>
        </w:rPr>
      </w:pPr>
    </w:p>
    <w:p>
      <w:pPr>
        <w:ind w:left="4" w:right="300" w:hanging="4"/>
        <w:spacing w:after="0" w:line="290" w:lineRule="auto"/>
        <w:tabs>
          <w:tab w:leader="none" w:pos="269"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57" w:lineRule="exact"/>
        <w:rPr>
          <w:rFonts w:ascii="Times New Roman" w:cs="Times New Roman" w:eastAsia="Times New Roman" w:hAnsi="Times New Roman"/>
          <w:sz w:val="17"/>
          <w:szCs w:val="17"/>
          <w:color w:val="auto"/>
        </w:rPr>
      </w:pPr>
    </w:p>
    <w:p>
      <w:pPr>
        <w:ind w:left="4" w:firstLine="987"/>
        <w:spacing w:after="0" w:line="258" w:lineRule="auto"/>
        <w:tabs>
          <w:tab w:leader="none" w:pos="1385"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64" w:name="page365"/>
    <w:bookmarkEnd w:id="364"/>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Administrator’s determination of the reason for termination of the Optionee’s Service Relationship with the Company or a Subsidiary shall be conclusive and binding on the Optionee and his or her representatives or legatees.</w:t>
      </w:r>
    </w:p>
    <w:p>
      <w:pPr>
        <w:spacing w:after="0" w:line="162" w:lineRule="exact"/>
        <w:rPr>
          <w:sz w:val="20"/>
          <w:szCs w:val="20"/>
          <w:color w:val="auto"/>
        </w:rPr>
      </w:pPr>
    </w:p>
    <w:p>
      <w:pPr>
        <w:jc w:val="both"/>
        <w:ind w:firstLine="436"/>
        <w:spacing w:after="0" w:line="266" w:lineRule="auto"/>
        <w:tabs>
          <w:tab w:leader="none" w:pos="7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220" w:firstLine="436"/>
        <w:spacing w:after="0" w:line="266" w:lineRule="auto"/>
        <w:tabs>
          <w:tab w:leader="none" w:pos="7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20" w:firstLine="436"/>
        <w:spacing w:after="0" w:line="255" w:lineRule="auto"/>
        <w:tabs>
          <w:tab w:leader="none" w:pos="7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Optionee a number of shares of Stock with an aggregate Fair 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7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9" w:lineRule="exact"/>
        <w:rPr>
          <w:rFonts w:ascii="Times New Roman" w:cs="Times New Roman" w:eastAsia="Times New Roman" w:hAnsi="Times New Roman"/>
          <w:sz w:val="18"/>
          <w:szCs w:val="18"/>
          <w:color w:val="auto"/>
        </w:rPr>
      </w:pPr>
    </w:p>
    <w:p>
      <w:pPr>
        <w:ind w:right="280" w:firstLine="436"/>
        <w:spacing w:after="0" w:line="282" w:lineRule="auto"/>
        <w:tabs>
          <w:tab w:leader="none" w:pos="7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7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65" w:name="page366"/>
    <w:bookmarkEnd w:id="365"/>
    <w:p>
      <w:pPr>
        <w:jc w:val="both"/>
        <w:ind w:left="-20" w:right="60" w:firstLine="436"/>
        <w:spacing w:after="0" w:line="266" w:lineRule="auto"/>
        <w:tabs>
          <w:tab w:leader="none" w:pos="82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left="-20" w:firstLine="436"/>
        <w:spacing w:after="0" w:line="255" w:lineRule="auto"/>
        <w:tabs>
          <w:tab w:leader="none" w:pos="81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xml:space="preserve">. The Optionee acknowledges that the Optionee may become subject to the Korro Bio,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Executive’s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Condition (as defined in the Optionee’s employment agreement with the Company) or serve as a basis for a claim of constructive termination under any benefits or compensation arrangement applicable to the Optionee, or (ii) to constitute a breach of a contract or other arrangement to which the Optionee is a party. This Section 11 is a material term of this Agreement.] </w:t>
      </w:r>
      <w:r>
        <w:rPr>
          <w:rFonts w:ascii="Times New Roman" w:cs="Times New Roman" w:eastAsia="Times New Roman" w:hAnsi="Times New Roman"/>
          <w:sz w:val="26"/>
          <w:szCs w:val="26"/>
          <w:color w:val="auto"/>
          <w:vertAlign w:val="superscript"/>
        </w:rPr>
        <w:t>1</w:t>
      </w:r>
    </w:p>
    <w:p>
      <w:pPr>
        <w:spacing w:after="0" w:line="36" w:lineRule="exact"/>
        <w:rPr>
          <w:rFonts w:ascii="Times New Roman" w:cs="Times New Roman" w:eastAsia="Times New Roman" w:hAnsi="Times New Roman"/>
          <w:sz w:val="18"/>
          <w:szCs w:val="18"/>
          <w:color w:val="auto"/>
        </w:rPr>
      </w:pPr>
    </w:p>
    <w:p>
      <w:pPr>
        <w:ind w:left="400" w:right="66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For Section 16 officers only (which includes the entire executive team after closing of the merger). Provision should be included once the clawback policy is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-322580</wp:posOffset>
            </wp:positionV>
            <wp:extent cx="77152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366" w:name="page367"/>
    <w:bookmarkEnd w:id="366"/>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1">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440" w:top="266" w:right="739" w:bottom="1440" w:gutter="0" w:footer="0" w:header="0"/>
        </w:sectPr>
      </w:pPr>
    </w:p>
    <w:bookmarkStart w:id="367" w:name="page368"/>
    <w:bookmarkEnd w:id="3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AWARD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3056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4">
                      <a:extLst>
                        <a:ext uri="{28A0092B-C50C-407E-A947-70E740481C1C}"/>
                      </a:extLst>
                    </a:blip>
                    <a:srcRect/>
                    <a:stretch>
                      <a:fillRect/>
                    </a:stretch>
                  </pic:blipFill>
                  <pic:spPr bwMode="auto">
                    <a:xfrm>
                      <a:off x="0" y="0"/>
                      <a:ext cx="30562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139954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5">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139954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6">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87" w:lineRule="exact"/>
        <w:rPr>
          <w:sz w:val="20"/>
          <w:szCs w:val="20"/>
          <w:color w:val="auto"/>
        </w:rPr>
      </w:pPr>
    </w:p>
    <w:p>
      <w:pPr>
        <w:ind w:right="180" w:firstLine="436"/>
        <w:spacing w:after="0" w:line="258" w:lineRule="auto"/>
        <w:tabs>
          <w:tab w:leader="none" w:pos="7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8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and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960" w:firstLine="987"/>
        <w:spacing w:after="0" w:line="282" w:lineRule="auto"/>
        <w:tabs>
          <w:tab w:leader="none" w:pos="136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38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granted herein may not be sold, assigned, transferred, pledged or otherwise encumbered or disposed of by the Grantee prior to the applicable Vesting Date indicted in Paragraph 3 below.</w:t>
      </w:r>
    </w:p>
    <w:p>
      <w:pPr>
        <w:spacing w:after="0" w:line="161" w:lineRule="exact"/>
        <w:rPr>
          <w:rFonts w:ascii="Times New Roman" w:cs="Times New Roman" w:eastAsia="Times New Roman" w:hAnsi="Times New Roman"/>
          <w:sz w:val="18"/>
          <w:szCs w:val="18"/>
          <w:color w:val="auto"/>
        </w:rPr>
      </w:pPr>
    </w:p>
    <w:p>
      <w:pPr>
        <w:ind w:right="220" w:firstLine="987"/>
        <w:spacing w:after="0" w:line="266" w:lineRule="auto"/>
        <w:tabs>
          <w:tab w:leader="none" w:pos="137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Service Relationship with the Company or a Subsidiary is terminated for any reason (including due to death or disability) prior to vesting of shares of Restricted Stock granted herein, all shares of Restricted Stock shall immediately and automatically be forfeited and returned to the Company.</w:t>
      </w:r>
    </w:p>
    <w:p>
      <w:pPr>
        <w:sectPr>
          <w:pgSz w:w="11900" w:h="16838" w:orient="portrait"/>
          <w:cols w:equalWidth="0" w:num="1">
            <w:col w:w="11000"/>
          </w:cols>
          <w:pgMar w:left="440" w:top="266" w:right="459" w:bottom="1440" w:gutter="0" w:footer="0" w:header="0"/>
        </w:sectPr>
      </w:pPr>
    </w:p>
    <w:bookmarkStart w:id="368" w:name="page369"/>
    <w:bookmarkEnd w:id="368"/>
    <w:p>
      <w:pPr>
        <w:ind w:right="80" w:firstLine="436"/>
        <w:spacing w:after="0" w:line="261" w:lineRule="auto"/>
        <w:tabs>
          <w:tab w:leader="none" w:pos="7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 of Restricted Stock</w:t>
      </w:r>
      <w:r>
        <w:rPr>
          <w:rFonts w:ascii="Times New Roman" w:cs="Times New Roman" w:eastAsia="Times New Roman" w:hAnsi="Times New Roman"/>
          <w:sz w:val="18"/>
          <w:szCs w:val="18"/>
          <w:color w:val="auto"/>
        </w:rPr>
        <w:t>. The restrictions and conditions in Paragraph 2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190"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48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Incremental Number</w:t>
            </w:r>
          </w:p>
        </w:tc>
        <w:tc>
          <w:tcPr>
            <w:tcW w:w="304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48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w w:val="99"/>
              </w:rPr>
              <w:t>of Shares Vested</w:t>
            </w: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-10160</wp:posOffset>
            </wp:positionV>
            <wp:extent cx="7626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-1905</wp:posOffset>
            </wp:positionV>
            <wp:extent cx="335153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-567690</wp:posOffset>
            </wp:positionV>
            <wp:extent cx="11233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-567690</wp:posOffset>
            </wp:positionV>
            <wp:extent cx="5715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62" w:lineRule="exact"/>
        <w:rPr>
          <w:sz w:val="20"/>
          <w:szCs w:val="20"/>
          <w:color w:val="auto"/>
        </w:rPr>
      </w:pPr>
    </w:p>
    <w:p>
      <w:pPr>
        <w:ind w:left="760" w:hanging="324"/>
        <w:spacing w:after="0"/>
        <w:tabs>
          <w:tab w:leader="none" w:pos="7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Grantee shall be entitled to receive all dividends or other distributions paid with respect to the shares of Restricted Stock.</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7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7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Grantee, is non-assignable and is not transferable in any manner, by operation of law or otherwise, other than by will or the laws of descent and distribution.</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75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69" w:name="page370"/>
    <w:bookmarkEnd w:id="369"/>
    <w:p>
      <w:pPr>
        <w:ind w:left="-20" w:right="140" w:firstLine="436"/>
        <w:spacing w:after="0" w:line="258" w:lineRule="auto"/>
        <w:tabs>
          <w:tab w:leader="none" w:pos="73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Under Section 83(b)</w:t>
      </w:r>
      <w:r>
        <w:rPr>
          <w:rFonts w:ascii="Times New Roman" w:cs="Times New Roman" w:eastAsia="Times New Roman" w:hAnsi="Times New Roman"/>
          <w:sz w:val="18"/>
          <w:szCs w:val="18"/>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83"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73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79" w:lineRule="exact"/>
        <w:rPr>
          <w:rFonts w:ascii="Times New Roman" w:cs="Times New Roman" w:eastAsia="Times New Roman" w:hAnsi="Times New Roman"/>
          <w:sz w:val="18"/>
          <w:szCs w:val="18"/>
          <w:color w:val="auto"/>
        </w:rPr>
      </w:pPr>
    </w:p>
    <w:p>
      <w:pPr>
        <w:ind w:left="-20" w:right="680" w:firstLine="436"/>
        <w:spacing w:after="0" w:line="282" w:lineRule="auto"/>
        <w:tabs>
          <w:tab w:leader="none" w:pos="82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81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82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370" w:name="page371"/>
    <w:bookmarkEnd w:id="370"/>
    <w:p>
      <w:pPr>
        <w:ind w:left="4" w:firstLine="436"/>
        <w:spacing w:after="0" w:line="255" w:lineRule="auto"/>
        <w:tabs>
          <w:tab w:leader="none" w:pos="84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xml:space="preserve">. The Grantee acknowledges that the Grantee may become subject to the Korro Bio,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Executive’s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Condition (as defined in the Grantee’s employment agreement with the Company) or serve as a basis for a claim of constructive termination under any benefits or compensation arrangement applicable to the Grantee, or (ii) to constitute a breach of a contract or other arrangement to which the Grantee is a party. This Section 13 is a material term of this Agreement.] </w:t>
      </w:r>
      <w:r>
        <w:rPr>
          <w:rFonts w:ascii="Times New Roman" w:cs="Times New Roman" w:eastAsia="Times New Roman" w:hAnsi="Times New Roman"/>
          <w:sz w:val="26"/>
          <w:szCs w:val="26"/>
          <w:color w:val="auto"/>
          <w:vertAlign w:val="superscript"/>
        </w:rPr>
        <w:t>1</w:t>
      </w:r>
    </w:p>
    <w:p>
      <w:pPr>
        <w:spacing w:after="0" w:line="20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17145</wp:posOffset>
            </wp:positionV>
            <wp:extent cx="65665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222885</wp:posOffset>
            </wp:positionV>
            <wp:extent cx="307721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445770</wp:posOffset>
            </wp:positionV>
            <wp:extent cx="307721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668655</wp:posOffset>
            </wp:positionV>
            <wp:extent cx="30772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780415</wp:posOffset>
            </wp:positionV>
            <wp:extent cx="7715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4" w:right="580" w:hanging="424"/>
        <w:spacing w:after="0" w:line="208" w:lineRule="auto"/>
        <w:tabs>
          <w:tab w:leader="none" w:pos="424" w:val="left"/>
        </w:tabs>
        <w:numPr>
          <w:ilvl w:val="0"/>
          <w:numId w:val="1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Section 16 officers only (which includes the entire executive team after closing of the merger). Provision should be included once the clawback policy is adopted.</w:t>
      </w:r>
    </w:p>
    <w:p>
      <w:pPr>
        <w:spacing w:after="0" w:line="13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70" w:right="559" w:bottom="1440" w:gutter="0" w:footer="0" w:header="0"/>
        </w:sectPr>
      </w:pPr>
    </w:p>
    <w:bookmarkStart w:id="371" w:name="page372"/>
    <w:bookmarkEnd w:id="3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CONSULTANTS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27990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-19050</wp:posOffset>
            </wp:positionV>
            <wp:extent cx="128524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0">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128524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-19050</wp:posOffset>
            </wp:positionV>
            <wp:extent cx="128524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ind w:firstLine="436"/>
        <w:spacing w:after="0" w:line="261" w:lineRule="auto"/>
        <w:tabs>
          <w:tab w:leader="none" w:pos="75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75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color w:val="auto"/>
              </w:rPr>
              <w:t>Incremental Number of</w:t>
            </w:r>
          </w:p>
        </w:tc>
        <w:tc>
          <w:tcPr>
            <w:tcW w:w="290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u w:val="single" w:color="auto"/>
                <w:color w:val="auto"/>
              </w:rPr>
              <w:t>Restricted Stock Units Vested</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-1905</wp:posOffset>
            </wp:positionV>
            <wp:extent cx="335153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4">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5">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6">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8">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9">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ectPr>
          <w:pgSz w:w="11900" w:h="16838" w:orient="portrait"/>
          <w:cols w:equalWidth="0" w:num="1">
            <w:col w:w="10980"/>
          </w:cols>
          <w:pgMar w:left="440" w:top="266" w:right="479" w:bottom="1440" w:gutter="0" w:footer="0" w:header="0"/>
        </w:sectPr>
      </w:pPr>
    </w:p>
    <w:bookmarkStart w:id="372" w:name="page373"/>
    <w:bookmarkEnd w:id="372"/>
    <w:p>
      <w:pPr>
        <w:ind w:left="-20" w:right="140" w:firstLine="436"/>
        <w:spacing w:after="0" w:line="261" w:lineRule="auto"/>
        <w:tabs>
          <w:tab w:leader="none" w:pos="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Service Relationship</w:t>
      </w:r>
      <w:r>
        <w:rPr>
          <w:rFonts w:ascii="Times New Roman" w:cs="Times New Roman" w:eastAsia="Times New Roman" w:hAnsi="Times New Roman"/>
          <w:sz w:val="18"/>
          <w:szCs w:val="18"/>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jc w:val="both"/>
        <w:ind w:left="-20" w:right="100" w:firstLine="436"/>
        <w:spacing w:after="0" w:line="261" w:lineRule="auto"/>
        <w:tabs>
          <w:tab w:leader="none" w:pos="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66" w:lineRule="auto"/>
        <w:tabs>
          <w:tab w:leader="none" w:pos="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Service Relationship of the Grantee at any time.</w:t>
      </w:r>
    </w:p>
    <w:p>
      <w:pPr>
        <w:spacing w:after="0" w:line="175" w:lineRule="exact"/>
        <w:rPr>
          <w:rFonts w:ascii="Times New Roman" w:cs="Times New Roman" w:eastAsia="Times New Roman" w:hAnsi="Times New Roman"/>
          <w:sz w:val="18"/>
          <w:szCs w:val="18"/>
          <w:color w:val="auto"/>
        </w:rPr>
      </w:pPr>
    </w:p>
    <w:p>
      <w:pPr>
        <w:ind w:left="-20" w:right="760" w:firstLine="436"/>
        <w:spacing w:after="0" w:line="282" w:lineRule="auto"/>
        <w:tabs>
          <w:tab w:leader="none" w:pos="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7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73" w:name="page374"/>
    <w:bookmarkEnd w:id="373"/>
    <w:p>
      <w:pPr>
        <w:ind w:firstLine="436"/>
        <w:spacing w:after="0" w:line="266" w:lineRule="auto"/>
        <w:tabs>
          <w:tab w:leader="none" w:pos="84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6">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7">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374" w:name="page375"/>
    <w:bookmarkEnd w:id="37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27990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0">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28524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28524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ind w:firstLine="436"/>
        <w:spacing w:after="0" w:line="261" w:lineRule="auto"/>
        <w:tabs>
          <w:tab w:leader="none" w:pos="7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right="160" w:firstLine="436"/>
        <w:spacing w:after="0" w:line="261" w:lineRule="auto"/>
        <w:tabs>
          <w:tab w:leader="none" w:pos="7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serve as a member of the Company’s Board of Directors on such Dates. If a series of Vesting Dates is specified, then the restrictions and conditions in Paragraph 1 shall lapse only with respect to the number of Restricted Stock Units specified as vested on such date.</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color w:val="auto"/>
              </w:rPr>
              <w:t>Incremental Number of</w:t>
            </w:r>
          </w:p>
        </w:tc>
        <w:tc>
          <w:tcPr>
            <w:tcW w:w="290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u w:val="single" w:color="auto"/>
                <w:color w:val="auto"/>
              </w:rPr>
              <w:t>Restricted Stock Units Vested</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-1905</wp:posOffset>
            </wp:positionV>
            <wp:extent cx="335153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4">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5">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6">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8">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9">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0">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of a Sale Event, 100% of the then-outstanding and unvested Restricted Stock Units shall immediately be deemed vested on the date of such Sale Event; provided, that the Grantee continues to serve as a member of the Company’s Board of Directors until the date of such Sale Event. The Administrator may at any time accelerate the vesting schedule specified in this Paragraph 2.</w:t>
      </w:r>
    </w:p>
    <w:p>
      <w:pPr>
        <w:sectPr>
          <w:pgSz w:w="11900" w:h="16838" w:orient="portrait"/>
          <w:cols w:equalWidth="0" w:num="1">
            <w:col w:w="10980"/>
          </w:cols>
          <w:pgMar w:left="440" w:top="266" w:right="479" w:bottom="1440" w:gutter="0" w:footer="0" w:header="0"/>
        </w:sectPr>
      </w:pPr>
    </w:p>
    <w:bookmarkStart w:id="375" w:name="page376"/>
    <w:bookmarkEnd w:id="375"/>
    <w:p>
      <w:pPr>
        <w:jc w:val="both"/>
        <w:ind w:left="-20" w:right="220" w:firstLine="436"/>
        <w:spacing w:after="0" w:line="261" w:lineRule="auto"/>
        <w:tabs>
          <w:tab w:leader="none" w:pos="7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Service</w:t>
      </w:r>
      <w:r>
        <w:rPr>
          <w:rFonts w:ascii="Times New Roman" w:cs="Times New Roman" w:eastAsia="Times New Roman" w:hAnsi="Times New Roman"/>
          <w:sz w:val="18"/>
          <w:szCs w:val="18"/>
          <w:color w:val="auto"/>
        </w:rPr>
        <w:t>. If the Grantee ceases to serve as a member of the Company’s Board of Directors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jc w:val="both"/>
        <w:ind w:left="-20" w:right="100" w:firstLine="436"/>
        <w:spacing w:after="0" w:line="261" w:lineRule="auto"/>
        <w:tabs>
          <w:tab w:leader="none" w:pos="7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20" w:right="660" w:firstLine="436"/>
        <w:spacing w:after="0" w:line="282" w:lineRule="auto"/>
        <w:tabs>
          <w:tab w:leader="none" w:pos="7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as a Service Provider</w:t>
      </w:r>
      <w:r>
        <w:rPr>
          <w:rFonts w:ascii="Times New Roman" w:cs="Times New Roman" w:eastAsia="Times New Roman" w:hAnsi="Times New Roman"/>
          <w:sz w:val="18"/>
          <w:szCs w:val="18"/>
          <w:color w:val="auto"/>
        </w:rPr>
        <w:t>. Neither the Plan nor this Award confers upon the Grantee any rights with respect to continuance as a Non-Employee Director or other service provider to the Company or a Subsidiary.</w:t>
      </w:r>
    </w:p>
    <w:p>
      <w:pPr>
        <w:spacing w:after="0" w:line="161" w:lineRule="exact"/>
        <w:rPr>
          <w:rFonts w:ascii="Times New Roman" w:cs="Times New Roman" w:eastAsia="Times New Roman" w:hAnsi="Times New Roman"/>
          <w:sz w:val="18"/>
          <w:szCs w:val="18"/>
          <w:color w:val="auto"/>
        </w:rPr>
      </w:pPr>
    </w:p>
    <w:p>
      <w:pPr>
        <w:ind w:left="-20" w:right="760" w:firstLine="436"/>
        <w:spacing w:after="0" w:line="282" w:lineRule="auto"/>
        <w:tabs>
          <w:tab w:leader="none" w:pos="7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73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76" w:name="page377"/>
    <w:bookmarkEnd w:id="376"/>
    <w:p>
      <w:pPr>
        <w:ind w:firstLine="436"/>
        <w:spacing w:after="0" w:line="266" w:lineRule="auto"/>
        <w:tabs>
          <w:tab w:leader="none" w:pos="84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Korro 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5">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6">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7">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377" w:name="page378"/>
    <w:bookmarkEnd w:id="3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26847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0">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17094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1">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17094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2">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ind w:firstLine="436"/>
        <w:spacing w:after="0" w:line="261" w:lineRule="auto"/>
        <w:tabs>
          <w:tab w:leader="none" w:pos="7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7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color w:val="auto"/>
              </w:rPr>
              <w:t>Incremental Number of</w:t>
            </w:r>
          </w:p>
        </w:tc>
        <w:tc>
          <w:tcPr>
            <w:tcW w:w="290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u w:val="single" w:color="auto"/>
                <w:color w:val="auto"/>
              </w:rPr>
              <w:t>Restricted Stock Units Vested</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wp:posOffset>
            </wp:positionV>
            <wp:extent cx="335153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4">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5">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6">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7">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8">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9">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0">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225" w:lineRule="exact"/>
        <w:rPr>
          <w:sz w:val="20"/>
          <w:szCs w:val="20"/>
          <w:color w:val="auto"/>
        </w:rPr>
      </w:pPr>
    </w:p>
    <w:p>
      <w:pPr>
        <w:ind w:right="120" w:firstLine="436"/>
        <w:spacing w:after="0" w:line="261" w:lineRule="auto"/>
        <w:tabs>
          <w:tab w:leader="none" w:pos="7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66" w:right="479" w:bottom="1440" w:gutter="0" w:footer="0" w:header="0"/>
        </w:sectPr>
      </w:pPr>
    </w:p>
    <w:bookmarkStart w:id="378" w:name="page379"/>
    <w:bookmarkEnd w:id="378"/>
    <w:p>
      <w:pPr>
        <w:jc w:val="both"/>
        <w:ind w:left="-20" w:right="100" w:firstLine="436"/>
        <w:spacing w:after="0" w:line="261" w:lineRule="auto"/>
        <w:tabs>
          <w:tab w:leader="none" w:pos="7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20" w:right="60" w:firstLine="436"/>
        <w:spacing w:after="0" w:line="255" w:lineRule="auto"/>
        <w:tabs>
          <w:tab w:leader="none" w:pos="7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88"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20" w:right="20" w:firstLine="436"/>
        <w:spacing w:after="0" w:line="289" w:lineRule="auto"/>
        <w:tabs>
          <w:tab w:leader="none" w:pos="735"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Continue Service Relationship</w:t>
      </w:r>
      <w:r>
        <w:rPr>
          <w:rFonts w:ascii="Times New Roman" w:cs="Times New Roman" w:eastAsia="Times New Roman" w:hAnsi="Times New Roman"/>
          <w:sz w:val="17"/>
          <w:szCs w:val="17"/>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57" w:lineRule="exact"/>
        <w:rPr>
          <w:rFonts w:ascii="Times New Roman" w:cs="Times New Roman" w:eastAsia="Times New Roman" w:hAnsi="Times New Roman"/>
          <w:sz w:val="17"/>
          <w:szCs w:val="17"/>
          <w:color w:val="auto"/>
        </w:rPr>
      </w:pPr>
    </w:p>
    <w:p>
      <w:pPr>
        <w:ind w:left="-20" w:right="760" w:firstLine="436"/>
        <w:spacing w:after="0" w:line="282" w:lineRule="auto"/>
        <w:tabs>
          <w:tab w:leader="none" w:pos="7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82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79" w:name="page380"/>
    <w:bookmarkEnd w:id="379"/>
    <w:p>
      <w:pPr>
        <w:ind w:left="-100" w:firstLine="436"/>
        <w:spacing w:after="0" w:line="266" w:lineRule="auto"/>
        <w:tabs>
          <w:tab w:leader="none" w:pos="73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left="-100" w:firstLine="436"/>
        <w:spacing w:after="0" w:line="255" w:lineRule="auto"/>
        <w:tabs>
          <w:tab w:leader="none" w:pos="74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xml:space="preserve">. The Grantee acknowledges that the Grantee may become subject to the Korro Bio,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Executive’s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Condition (as defined in the Grantee’s employment agreement with the Company) or serve as a basis for a claim of constructive termination under any benefits or compensation arrangement applicable to the Grantee, or (ii) to constitute a breach of a contract or other arrangement to which the Grantee is a party. This Section 12 is a material term of this Agreement.] </w:t>
      </w:r>
      <w:r>
        <w:rPr>
          <w:rFonts w:ascii="Times New Roman" w:cs="Times New Roman" w:eastAsia="Times New Roman" w:hAnsi="Times New Roman"/>
          <w:sz w:val="26"/>
          <w:szCs w:val="26"/>
          <w:color w:val="auto"/>
          <w:vertAlign w:val="superscript"/>
        </w:rPr>
        <w:t>1</w:t>
      </w:r>
    </w:p>
    <w:p>
      <w:pPr>
        <w:spacing w:after="0" w:line="36" w:lineRule="exact"/>
        <w:rPr>
          <w:rFonts w:ascii="Times New Roman" w:cs="Times New Roman" w:eastAsia="Times New Roman" w:hAnsi="Times New Roman"/>
          <w:sz w:val="18"/>
          <w:szCs w:val="18"/>
          <w:color w:val="auto"/>
        </w:rPr>
      </w:pPr>
    </w:p>
    <w:p>
      <w:pPr>
        <w:ind w:left="320" w:right="5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For Section 16 officers only (which includes the entire executive team after closing of the merger). Provision should be included once the clawback policy is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-322580</wp:posOffset>
            </wp:positionV>
            <wp:extent cx="77152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70" w:right="559" w:bottom="1440" w:gutter="0" w:footer="0" w:header="0"/>
        </w:sectPr>
      </w:pPr>
    </w:p>
    <w:bookmarkStart w:id="380" w:name="page381"/>
    <w:bookmarkEnd w:id="380"/>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7">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8">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9">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440" w:top="266" w:right="73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EMPLOYEE STOCK PURCHASE PLAN</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purpose of the Korro Bio, Inc. 2023 Employee Stock Purchase Plan (the “Plan”) is to provide eligible employees of Korro Bio, Inc. (the “Company”) and each Designated Company (as defined in Section 11) with opportunities to purchase shares of the Company’s common stock, par value $0.001 per share (the “Common Stock”). 88,502 shares of Common Stock in the aggregate have been approved and reserved for this purpose, plus on January 1, 2024 and each January 1 thereafter until the Plan terminates pursuant to Section 20, the number of shares of Common Stock reserved and available for issuance under the Plan shall be cumulatively increased by the lesser of (i) 88,502 shares of Common Stock, (ii) one percent (1%) of the number of shares of Common Stock issued and outstanding on the immediately preceding December 31, or (iii) such lesser number of shares of Common Stock as determined by the Administrator (as defined in Section 1).</w:t>
      </w:r>
    </w:p>
    <w:p>
      <w:pPr>
        <w:spacing w:after="0" w:line="18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Plan includes two components: a Code Section 423 Component (the “423 Component”) and a non-Code Section 423 Component (the “Non-423 Component”). It is intended for the 423 Component to constitute an “employee stock purchase plan” within the meaning of Section 423(b) of the Internal Revenue Code of 1986, as amended (the “Code”), and the 423 Component shall be interpreted in accordance with that intent. Under the Non-423 Component, which does not qualify as an “employee stock purchase plan” within the meaning of Section 423(b) of the Code, options will be granted pursuant to rules, procedures or sub-plans adopted by the Administrator designed to comply with applicable laws or achieve tax and other objectives. Except as otherwise provided herein or by the Administrator, the Non-423 Component will operate and be administered in the same manner as the 423 Component.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defined herein, capitalized terms in this Plan shall have the meaning ascribed to them in Section 11.</w:t>
      </w:r>
    </w:p>
    <w:p>
      <w:pPr>
        <w:spacing w:after="0" w:line="225" w:lineRule="exact"/>
        <w:rPr>
          <w:sz w:val="20"/>
          <w:szCs w:val="20"/>
          <w:color w:val="auto"/>
        </w:rPr>
      </w:pPr>
    </w:p>
    <w:p>
      <w:pPr>
        <w:ind w:right="20" w:firstLine="436"/>
        <w:spacing w:after="0" w:line="254" w:lineRule="auto"/>
        <w:tabs>
          <w:tab w:leader="none" w:pos="7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including to accommodate the specific requirements of applicable laws, regulations and procedures in jurisdictions outside the United States;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91" w:lineRule="exact"/>
        <w:rPr>
          <w:rFonts w:ascii="Times New Roman" w:cs="Times New Roman" w:eastAsia="Times New Roman" w:hAnsi="Times New Roman"/>
          <w:sz w:val="18"/>
          <w:szCs w:val="18"/>
          <w:color w:val="auto"/>
        </w:rPr>
      </w:pPr>
    </w:p>
    <w:p>
      <w:pPr>
        <w:ind w:right="160" w:firstLine="436"/>
        <w:spacing w:after="0" w:line="261" w:lineRule="auto"/>
        <w:tabs>
          <w:tab w:leader="none" w:pos="7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Offerings</w:t>
      </w:r>
      <w:r>
        <w:rPr>
          <w:rFonts w:ascii="Times New Roman" w:cs="Times New Roman" w:eastAsia="Times New Roman" w:hAnsi="Times New Roman"/>
          <w:sz w:val="18"/>
          <w:szCs w:val="18"/>
          <w:color w:val="auto"/>
        </w:rPr>
        <w:t>. The Company may make one or more offerings to eligible employees to purchase Common Stock under the Plan (“Offerings”) consisting of one or more Purchase Periods. The Administrator may, in its discretion, determine when each Offering shall occur, including the duration of any Offering, provided that no Offering shall exceed 27 months in duration. Unless as otherwise determined by the Administrator, Participants will only be permitted to participate in one Offering at a time.</w:t>
      </w:r>
    </w:p>
    <w:p>
      <w:pPr>
        <w:sectPr>
          <w:pgSz w:w="11900" w:h="16838" w:orient="portrait"/>
          <w:cols w:equalWidth="0" w:num="1">
            <w:col w:w="11020"/>
          </w:cols>
          <w:pgMar w:left="440" w:top="117" w:right="439" w:bottom="1440" w:gutter="0" w:footer="0" w:header="0"/>
        </w:sectPr>
      </w:pPr>
    </w:p>
    <w:bookmarkStart w:id="382" w:name="page383"/>
    <w:bookmarkEnd w:id="382"/>
    <w:p>
      <w:pPr>
        <w:ind w:left="-60" w:firstLine="436"/>
        <w:spacing w:after="0" w:line="253"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Eligibility</w:t>
      </w:r>
      <w:r>
        <w:rPr>
          <w:rFonts w:ascii="Times New Roman" w:cs="Times New Roman" w:eastAsia="Times New Roman" w:hAnsi="Times New Roman"/>
          <w:sz w:val="18"/>
          <w:szCs w:val="18"/>
          <w:color w:val="auto"/>
        </w:rPr>
        <w:t>. Except as otherwise determined by the Administrator in advance of an Offering, all individuals classified as employees on the payroll records of the Company and each Designated Company are eligible to participate in any one or more of the Offerings under the Plan (provided, that a Participant is not permitted to participate in multiple Offerings at the same time, unless otherwise determined by the Administrator), provided that as of the first day of the applicable Offering (the “Offering Date”), they are customarily employed by the Company or a Designated Company for more than 20 hours a week.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shall not be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which specifically renders such individuals eligible to participate herein.</w:t>
      </w:r>
    </w:p>
    <w:p>
      <w:pPr>
        <w:spacing w:after="0" w:line="187" w:lineRule="exact"/>
        <w:rPr>
          <w:rFonts w:ascii="Times New Roman" w:cs="Times New Roman" w:eastAsia="Times New Roman" w:hAnsi="Times New Roman"/>
          <w:sz w:val="18"/>
          <w:szCs w:val="18"/>
          <w:color w:val="auto"/>
        </w:rPr>
      </w:pPr>
    </w:p>
    <w:p>
      <w:pPr>
        <w:ind w:left="700" w:hanging="324"/>
        <w:spacing w:after="0"/>
        <w:tabs>
          <w:tab w:leader="none" w:pos="7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320" w:firstLine="987"/>
        <w:spacing w:after="0" w:line="266" w:lineRule="auto"/>
        <w:tabs>
          <w:tab w:leader="none" w:pos="130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employee who is not a Participant in any prior Offering may participate in a subsequent Offering by submitting an enrollment form to the Company or an agent designated by the Company (in the manner described in Section 4) at least 15 business days before the Offering Date (or by such other deadline as shall be established by the Administrator for the Offering).</w:t>
      </w:r>
    </w:p>
    <w:p>
      <w:pPr>
        <w:spacing w:after="0" w:line="175" w:lineRule="exact"/>
        <w:rPr>
          <w:rFonts w:ascii="Times New Roman" w:cs="Times New Roman" w:eastAsia="Times New Roman" w:hAnsi="Times New Roman"/>
          <w:sz w:val="18"/>
          <w:szCs w:val="18"/>
          <w:color w:val="auto"/>
        </w:rPr>
      </w:pPr>
    </w:p>
    <w:p>
      <w:pPr>
        <w:ind w:left="-60" w:right="100" w:firstLine="987"/>
        <w:spacing w:after="0" w:line="255" w:lineRule="auto"/>
        <w:tabs>
          <w:tab w:leader="none" w:pos="132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color w:val="auto"/>
        </w:rPr>
        <w:t>. The enrollment form (which may be in an electronic format or such other method as determined by the Company in accordance with the Company’s practices)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or contributions and purchases will continue at the same percentage of Compensation for future Offerings, provided he or she remains eligible.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70" w:right="519" w:bottom="1440" w:gutter="0" w:footer="0" w:header="0"/>
        </w:sectPr>
      </w:pPr>
    </w:p>
    <w:bookmarkStart w:id="383" w:name="page384"/>
    <w:bookmarkEnd w:id="383"/>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tab/>
        <w:t>Notwithstanding the foregoing, participation in the Plan will neither be permitted nor be denied contrary to the requirements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7" w:lineRule="exact"/>
        <w:rPr>
          <w:sz w:val="20"/>
          <w:szCs w:val="20"/>
          <w:color w:val="auto"/>
        </w:rPr>
      </w:pPr>
    </w:p>
    <w:p>
      <w:pPr>
        <w:ind w:right="20" w:firstLine="436"/>
        <w:spacing w:after="0" w:line="254" w:lineRule="auto"/>
        <w:tabs>
          <w:tab w:leader="none" w:pos="7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Contributions</w:t>
      </w:r>
      <w:r>
        <w:rPr>
          <w:rFonts w:ascii="Times New Roman" w:cs="Times New Roman" w:eastAsia="Times New Roman" w:hAnsi="Times New Roman"/>
          <w:sz w:val="18"/>
          <w:szCs w:val="18"/>
          <w:color w:val="auto"/>
        </w:rPr>
        <w:t>. Each eligible employee may authorize payroll deductions or contributions at a minimum of 1 percent (1%) up to a maximum of 15 percent (15%) of such employee’s Compensation for each pay period or such other maximum as may be specified by the Administrator in advance of an Offering. The Company will maintain book accounts showing the amount of payroll deductions or contributions made by each Participant for each Purchase Period within an Offering. No interest will accrue or be paid on payroll deductions or contributions, except as may be required by applicable law. If payroll deductions or contributions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or contributions” in this Section 5 (or in any other section of the Plan) will similarly cover contributions by other means made pursuant to this Section 5.</w:t>
      </w:r>
    </w:p>
    <w:p>
      <w:pPr>
        <w:spacing w:after="0" w:line="191" w:lineRule="exact"/>
        <w:rPr>
          <w:rFonts w:ascii="Times New Roman" w:cs="Times New Roman" w:eastAsia="Times New Roman" w:hAnsi="Times New Roman"/>
          <w:sz w:val="18"/>
          <w:szCs w:val="18"/>
          <w:color w:val="auto"/>
        </w:rPr>
      </w:pPr>
    </w:p>
    <w:p>
      <w:pPr>
        <w:ind w:firstLine="436"/>
        <w:spacing w:after="0" w:line="258" w:lineRule="auto"/>
        <w:tabs>
          <w:tab w:leader="none" w:pos="7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Deduction Changes</w:t>
      </w:r>
      <w:r>
        <w:rPr>
          <w:rFonts w:ascii="Times New Roman" w:cs="Times New Roman" w:eastAsia="Times New Roman" w:hAnsi="Times New Roman"/>
          <w:sz w:val="18"/>
          <w:szCs w:val="18"/>
          <w:color w:val="auto"/>
        </w:rPr>
        <w:t>. Except as may be determined by the Administrator in advance of an Offering, a Participant may not increase or decrease his or her payroll deduction or contributions during any Offering, but may increase or decrease his or her payroll deduction or contributions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or contributions during an Offering.</w:t>
      </w:r>
    </w:p>
    <w:p>
      <w:pPr>
        <w:spacing w:after="0" w:line="183" w:lineRule="exact"/>
        <w:rPr>
          <w:rFonts w:ascii="Times New Roman" w:cs="Times New Roman" w:eastAsia="Times New Roman" w:hAnsi="Times New Roman"/>
          <w:sz w:val="18"/>
          <w:szCs w:val="18"/>
          <w:color w:val="auto"/>
        </w:rPr>
      </w:pPr>
    </w:p>
    <w:p>
      <w:pPr>
        <w:ind w:right="100" w:firstLine="436"/>
        <w:spacing w:after="0" w:line="256" w:lineRule="auto"/>
        <w:tabs>
          <w:tab w:leader="none" w:pos="7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withdraw from participation in the Plan by delivering a written notice of withdrawal to the Company or an agent designated by the Company (in accordance with such procedures as may be established by the Administrator).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87" w:lineRule="exact"/>
        <w:rPr>
          <w:rFonts w:ascii="Times New Roman" w:cs="Times New Roman" w:eastAsia="Times New Roman" w:hAnsi="Times New Roman"/>
          <w:sz w:val="18"/>
          <w:szCs w:val="18"/>
          <w:color w:val="auto"/>
        </w:rPr>
      </w:pPr>
    </w:p>
    <w:p>
      <w:pPr>
        <w:ind w:right="80" w:firstLine="436"/>
        <w:spacing w:after="0" w:line="254" w:lineRule="auto"/>
        <w:tabs>
          <w:tab w:leader="none" w:pos="7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On each Offering Date, the Company will grant to each eligible employee who is then a Participant in the Plan an option (“Option”) to purchase, on the last day of a Purchase Period (an “Exercise Date”) and at the Option Price (as defined herein) hereinafter provided for, the lowest of (a) a number of shares of Common Stock determined by dividing such Participant’s accumulated payroll deductions or contributions on such Exercise Date by the Option Price, (b) the number of shares of Common Stock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or contributions on the Exercise Date. The purchase price for each share purchased under each Option (the “Option Price”) will be 85 percent (85%) of the Fair Market Value (as defined in Section 11) of the Common Stock on the Offering Date or the Exercise Date, whichever is less.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84" w:name="page385"/>
    <w:bookmarkEnd w:id="38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no Participant may be granted an Option hereunder if such Participant, immediately after the Option was granted, would be treated as owning stock possessing 5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the Common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88" w:lineRule="exact"/>
        <w:rPr>
          <w:sz w:val="20"/>
          <w:szCs w:val="20"/>
          <w:color w:val="auto"/>
        </w:rPr>
      </w:pPr>
    </w:p>
    <w:p>
      <w:pPr>
        <w:ind w:right="40" w:firstLine="436"/>
        <w:spacing w:after="0" w:line="273" w:lineRule="auto"/>
        <w:tabs>
          <w:tab w:leader="none" w:pos="75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 and Purchase of Shares</w:t>
      </w:r>
      <w:r>
        <w:rPr>
          <w:rFonts w:ascii="Times New Roman" w:cs="Times New Roman" w:eastAsia="Times New Roman" w:hAnsi="Times New Roman"/>
          <w:sz w:val="17"/>
          <w:szCs w:val="17"/>
          <w:color w:val="auto"/>
        </w:rPr>
        <w:t>. Each employee who continues to be a Participant in the Plan on an Exercise Date shall be deemed to have exercised his or her Option on such date and shall acquire from the Company such number of whole shares of Common Stock reserved for the purpose of the Plan as his or her accumulated payroll deductions or contributions on such date will purchase at the Option Price, subject to any other limitations contained in the Plan. Unless otherwise determined by the Administrator in advance of an Offering, any amount remaining in a Participant’s account after the purchase of shares on an Exercise Date of an Offering solely by reason of the inability to purchase a fractional share will be carried forward to the next Purchase Period; provided, that if such Exercise Date is the final Exercise Date of an Offering, such amount will be carried forward to the next Offering and any other balance remaining in a Participant’s account at the end of an Offering will be refunded to the Participant promptly.</w:t>
      </w:r>
    </w:p>
    <w:p>
      <w:pPr>
        <w:spacing w:after="0" w:line="171" w:lineRule="exact"/>
        <w:rPr>
          <w:rFonts w:ascii="Times New Roman" w:cs="Times New Roman" w:eastAsia="Times New Roman" w:hAnsi="Times New Roman"/>
          <w:sz w:val="17"/>
          <w:szCs w:val="17"/>
          <w:color w:val="auto"/>
        </w:rPr>
      </w:pPr>
    </w:p>
    <w:p>
      <w:pPr>
        <w:ind w:right="60" w:firstLine="436"/>
        <w:spacing w:after="0" w:line="266" w:lineRule="auto"/>
        <w:tabs>
          <w:tab w:leader="none" w:pos="84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17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any entity that, directly or indirectly through one or more intermediaries, controls, is controlled by or is under the common control with the Company.</w:t>
      </w:r>
    </w:p>
    <w:p>
      <w:pPr>
        <w:spacing w:after="0" w:line="158"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(the “Closing”) of the transactions contemplated by that certain Agreement and Plan of Merger by and among Frequency Therapeutics, Inc., the Company and Frequency Merger Sub Inc., dated as of July 14, 2023.</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85" w:name="page386"/>
    <w:bookmarkEnd w:id="385"/>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means the amount of base pay, prior to salary reduction such as pursuant to Sections 125, 132(f) or 401(k) of the Code, but excluding overtime, commissions, incentive or bonus awards, allowances and reimbursements for expenses such as relocation allowances or travel expenses, income or gains related to Company stock options or other share-based awards, and similar items. The Administrator shall have the discretion to determine the application of this definition to Participants outside the United States.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Designated Company</w:t>
      </w:r>
      <w:r>
        <w:rPr>
          <w:rFonts w:ascii="Times New Roman" w:cs="Times New Roman" w:eastAsia="Times New Roman" w:hAnsi="Times New Roman"/>
          <w:sz w:val="18"/>
          <w:szCs w:val="18"/>
          <w:color w:val="auto"/>
        </w:rPr>
        <w:t xml:space="preserve">” means any present or future Affiliate or Subsidiary that has been designated by the Administrator to participate in the Plan. The Administrator may so designate any Subsidiary or Affiliate, or revoke any such designation, at any time and from time to time, either before or after the Plan is approved by the stockholders, and may further designate such companies or Participants as participating in the 423 Component or the Non-423 Component. The Administrator may also determine which affiliates or eligible employees may be excluded from participation in the Plan, to the extent consistent with Section 423 of the Code or as implemented under the Non-423 Component, and determine which Designated Company or Companies will participate in separate Offerings (to the extent that the Company makes separate Offerings). For purposes of the 423 Component, only the Company and its Subsidiaries may be Designated Companies; provided, however, that at any given time, a Subsidiary that is a Designated Company under the 423 Component will not be a Designated Company under the Non-423 Component. The current list of Designated Companies is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the date on which the Plan becomes effective as set forth in Section 26.</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Fair Market Value of the Common Stock</w:t>
      </w:r>
      <w:r>
        <w:rPr>
          <w:rFonts w:ascii="Times New Roman" w:cs="Times New Roman" w:eastAsia="Times New Roman" w:hAnsi="Times New Roman"/>
          <w:sz w:val="18"/>
          <w:szCs w:val="18"/>
          <w:color w:val="auto"/>
        </w:rPr>
        <w:t>” on any given date means the fair market value of the Common Stock determined in good faith by the Administrator; provided, however, that if the Common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New Exercise Date</w:t>
      </w:r>
      <w:r>
        <w:rPr>
          <w:rFonts w:ascii="Times New Roman" w:cs="Times New Roman" w:eastAsia="Times New Roman" w:hAnsi="Times New Roman"/>
          <w:sz w:val="18"/>
          <w:szCs w:val="18"/>
          <w:color w:val="auto"/>
        </w:rPr>
        <w:t>” means a new Exercise Date if the Administrator shortens any Offering then in progress.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a “parent corporation” with respect to the Company, as defined in Section 424(e)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xml:space="preserve">” means an individual who is eligible as determined in Section 3 and who has complied with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Purchase Period</w:t>
      </w:r>
      <w:r>
        <w:rPr>
          <w:rFonts w:ascii="Times New Roman" w:cs="Times New Roman" w:eastAsia="Times New Roman" w:hAnsi="Times New Roman"/>
          <w:sz w:val="18"/>
          <w:szCs w:val="18"/>
          <w:color w:val="auto"/>
        </w:rPr>
        <w:t>” means a period of time specified within an Offering beginning on the Offering Date or on the next day following an Exercise Date within an Offering and ending on an Exercise Date. An Offering may consist of one or more Purchase Periods.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386" w:name="page387"/>
    <w:bookmarkEnd w:id="386"/>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means (i) the sale of all or substantially all of the assets of the Company on a consolidated basis to an unrelated person or entity, (ii) a merger, reorganization, statutory share exchange, consolidation, or similar transaction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Common Stock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 “subsidiary corporation” with respect to the Company, as defined in Section 424(f) of the Code.</w:t>
      </w:r>
    </w:p>
    <w:p>
      <w:pPr>
        <w:spacing w:after="0" w:line="227" w:lineRule="exact"/>
        <w:rPr>
          <w:sz w:val="20"/>
          <w:szCs w:val="20"/>
          <w:color w:val="auto"/>
        </w:rPr>
      </w:pPr>
    </w:p>
    <w:p>
      <w:pPr>
        <w:ind w:firstLine="436"/>
        <w:spacing w:after="0" w:line="252" w:lineRule="auto"/>
        <w:tabs>
          <w:tab w:leader="none" w:pos="84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on Termination or Transfer of Employment</w:t>
      </w:r>
      <w:r>
        <w:rPr>
          <w:rFonts w:ascii="Times New Roman" w:cs="Times New Roman" w:eastAsia="Times New Roman" w:hAnsi="Times New Roman"/>
          <w:sz w:val="18"/>
          <w:szCs w:val="18"/>
          <w:color w:val="auto"/>
        </w:rPr>
        <w:t>. If a Participant’s employment terminates for any reason before the Exercise Date for any Offering, no payroll deduction or contributions will be taken from any pay due and owing to the Participant and the balance in the Participant’s account will be paid to such Participant or, in the case of such Participant’s death, if permitted by the Administrator and valid under applicable law, to his or her designated beneficiary or to the legal representative of his or her estate as if such Participant had withdrawn from the Plan under Section 7. An employee will be deemed to have terminated employment, for this purpose, if the corporation that employs him or her, having been a Designated Company, ceases to be a Subsidiary or Affiliate, or if the employee is transferred to any corporation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will not be treated as having terminated employment for purposes of participating in the Plan or an Offering; provided, however, that if a Participant transfers from an Offering under the 423 Component to an Offering under the Non-423 Component, the exercise of the Participant’s Option will be qualified under the 423 Component only to the extent that such exercise complies with Section 423 of the Code. If a Participant transfers from an Offering under the Non-423 Component to an Offering under the 423 Component, the exercise of the Participant’s Option will remain non-qualified under the Non-423 Component. Further, an employee will not be deemed to have terminated employment for purposes of this Section 12, if the employee is on an approved leave of absence where the employee’s right to reemployment is guaranteed either by a statute or by contract or under the policy pursuant to which the leave of absence was granted or if the Administrator otherwise provides in writing.</w:t>
      </w:r>
    </w:p>
    <w:p>
      <w:pPr>
        <w:spacing w:after="0" w:line="195" w:lineRule="exact"/>
        <w:rPr>
          <w:rFonts w:ascii="Times New Roman" w:cs="Times New Roman" w:eastAsia="Times New Roman" w:hAnsi="Times New Roman"/>
          <w:sz w:val="18"/>
          <w:szCs w:val="18"/>
          <w:color w:val="auto"/>
        </w:rPr>
      </w:pPr>
    </w:p>
    <w:p>
      <w:pPr>
        <w:ind w:firstLine="436"/>
        <w:spacing w:after="0" w:line="273" w:lineRule="auto"/>
        <w:tabs>
          <w:tab w:leader="none" w:pos="84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Rules and Sub-Plans</w:t>
      </w:r>
      <w:r>
        <w:rPr>
          <w:rFonts w:ascii="Times New Roman" w:cs="Times New Roman" w:eastAsia="Times New Roman" w:hAnsi="Times New Roman"/>
          <w:sz w:val="17"/>
          <w:szCs w:val="17"/>
          <w:color w:val="auto"/>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contributions by other means, establishment of bank or trust accounts to hold payroll deductions or contributions, payment of interest, conversion of local currency, obligation to pay payroll tax, withholding procedures and handling of share issuances, any of which may vary according to applicable requirements; provided that if such special rules or sub-plans are inconsistent with the requirements of Section 423(b) of the Code the employees subject to such special rules or sub-plans will participate in the Non-423 Component.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387" w:name="page388"/>
    <w:bookmarkEnd w:id="387"/>
    <w:p>
      <w:pPr>
        <w:ind w:left="-20" w:right="20" w:firstLine="436"/>
        <w:spacing w:after="0" w:line="266" w:lineRule="auto"/>
        <w:tabs>
          <w:tab w:leader="none" w:pos="8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Optionees Not Stockholders</w:t>
      </w:r>
      <w:r>
        <w:rPr>
          <w:rFonts w:ascii="Times New Roman" w:cs="Times New Roman" w:eastAsia="Times New Roman" w:hAnsi="Times New Roman"/>
          <w:sz w:val="18"/>
          <w:szCs w:val="18"/>
          <w:color w:val="auto"/>
        </w:rPr>
        <w:t>. Neither the granting of an Option to a Participant nor the deductions or contributions from his or her pay shall result in such Participant becoming a holder of the shares of Common Stock covered by an Option under the Plan until such shares have been purchased by and issued to him or her.</w:t>
      </w:r>
    </w:p>
    <w:p>
      <w:pPr>
        <w:spacing w:after="0" w:line="175" w:lineRule="exact"/>
        <w:rPr>
          <w:rFonts w:ascii="Times New Roman" w:cs="Times New Roman" w:eastAsia="Times New Roman" w:hAnsi="Times New Roman"/>
          <w:sz w:val="18"/>
          <w:szCs w:val="18"/>
          <w:color w:val="auto"/>
        </w:rPr>
      </w:pPr>
    </w:p>
    <w:p>
      <w:pPr>
        <w:ind w:left="-20" w:firstLine="436"/>
        <w:spacing w:after="0" w:line="282" w:lineRule="auto"/>
        <w:tabs>
          <w:tab w:leader="none" w:pos="8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Not Transferable</w:t>
      </w:r>
      <w:r>
        <w:rPr>
          <w:rFonts w:ascii="Times New Roman" w:cs="Times New Roman" w:eastAsia="Times New Roman" w:hAnsi="Times New Roman"/>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61"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8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All funds received or held by the Company under the Plan may be combined with other corporate funds and may be used for any corporate purpose, unless otherwise required under applicable law.</w:t>
      </w:r>
    </w:p>
    <w:p>
      <w:pPr>
        <w:spacing w:after="0" w:line="161" w:lineRule="exact"/>
        <w:rPr>
          <w:rFonts w:ascii="Times New Roman" w:cs="Times New Roman" w:eastAsia="Times New Roman" w:hAnsi="Times New Roman"/>
          <w:sz w:val="18"/>
          <w:szCs w:val="18"/>
          <w:color w:val="auto"/>
        </w:rPr>
      </w:pPr>
    </w:p>
    <w:p>
      <w:pPr>
        <w:ind w:left="-20" w:right="140" w:firstLine="436"/>
        <w:spacing w:after="0" w:line="255" w:lineRule="auto"/>
        <w:tabs>
          <w:tab w:leader="none" w:pos="82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Case of Changes Affecting Common Stock</w:t>
      </w:r>
      <w:r>
        <w:rPr>
          <w:rFonts w:ascii="Times New Roman" w:cs="Times New Roman" w:eastAsia="Times New Roman" w:hAnsi="Times New Roman"/>
          <w:sz w:val="18"/>
          <w:szCs w:val="18"/>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spacing w:after="0" w:line="188" w:lineRule="exact"/>
        <w:rPr>
          <w:rFonts w:ascii="Times New Roman" w:cs="Times New Roman" w:eastAsia="Times New Roman" w:hAnsi="Times New Roman"/>
          <w:sz w:val="18"/>
          <w:szCs w:val="18"/>
          <w:color w:val="auto"/>
        </w:rPr>
      </w:pPr>
    </w:p>
    <w:p>
      <w:pPr>
        <w:ind w:left="-20" w:right="260" w:firstLine="987"/>
        <w:spacing w:after="0" w:line="266" w:lineRule="auto"/>
        <w:tabs>
          <w:tab w:leader="none" w:pos="134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spacing w:after="0" w:line="175" w:lineRule="exact"/>
        <w:rPr>
          <w:rFonts w:ascii="Times New Roman" w:cs="Times New Roman" w:eastAsia="Times New Roman" w:hAnsi="Times New Roman"/>
          <w:sz w:val="18"/>
          <w:szCs w:val="18"/>
          <w:color w:val="auto"/>
        </w:rPr>
      </w:pPr>
    </w:p>
    <w:p>
      <w:pPr>
        <w:ind w:left="-20" w:right="400" w:firstLine="987"/>
        <w:spacing w:after="0" w:line="266" w:lineRule="auto"/>
        <w:tabs>
          <w:tab w:leader="none" w:pos="135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outstanding Options under the Plan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spacing w:after="0" w:line="175" w:lineRule="exact"/>
        <w:rPr>
          <w:rFonts w:ascii="Times New Roman" w:cs="Times New Roman" w:eastAsia="Times New Roman" w:hAnsi="Times New Roman"/>
          <w:sz w:val="18"/>
          <w:szCs w:val="18"/>
          <w:color w:val="auto"/>
        </w:rPr>
      </w:pPr>
    </w:p>
    <w:p>
      <w:pPr>
        <w:ind w:left="-20" w:right="400" w:firstLine="987"/>
        <w:spacing w:after="0" w:line="282" w:lineRule="auto"/>
        <w:tabs>
          <w:tab w:leader="none" w:pos="1348"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of Common Stock (or other securities or property) subject to outstanding Options under the Plan and/or in the terms and conditions of outstanding Options and Options that may be granted in the future.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388" w:name="page389"/>
    <w:bookmarkEnd w:id="388"/>
    <w:p>
      <w:pPr>
        <w:ind w:right="60" w:firstLine="987"/>
        <w:spacing w:after="0" w:line="258" w:lineRule="auto"/>
        <w:tabs>
          <w:tab w:leader="none" w:pos="137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as provided in Section 7 hereof.</w:t>
      </w:r>
    </w:p>
    <w:p>
      <w:pPr>
        <w:spacing w:after="0" w:line="183" w:lineRule="exact"/>
        <w:rPr>
          <w:rFonts w:ascii="Times New Roman" w:cs="Times New Roman" w:eastAsia="Times New Roman" w:hAnsi="Times New Roman"/>
          <w:sz w:val="18"/>
          <w:szCs w:val="18"/>
          <w:color w:val="auto"/>
        </w:rPr>
      </w:pPr>
    </w:p>
    <w:p>
      <w:pPr>
        <w:ind w:right="160" w:firstLine="987"/>
        <w:spacing w:after="0" w:line="282" w:lineRule="auto"/>
        <w:tabs>
          <w:tab w:leader="none" w:pos="136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all outstanding Options shall terminate without being exercised and all amounts in the accounts of Participants shall be promptly refunded.</w:t>
      </w:r>
    </w:p>
    <w:p>
      <w:pPr>
        <w:spacing w:after="0" w:line="161" w:lineRule="exact"/>
        <w:rPr>
          <w:rFonts w:ascii="Times New Roman" w:cs="Times New Roman" w:eastAsia="Times New Roman" w:hAnsi="Times New Roman"/>
          <w:sz w:val="18"/>
          <w:szCs w:val="18"/>
          <w:color w:val="auto"/>
        </w:rPr>
      </w:pPr>
    </w:p>
    <w:p>
      <w:pPr>
        <w:ind w:right="120" w:firstLine="436"/>
        <w:spacing w:after="0" w:line="261" w:lineRule="auto"/>
        <w:tabs>
          <w:tab w:leader="none" w:pos="84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423 Component of the Plan or making any other change that would require stockholder approval in order for the Plan, as amended, to qualify as an “employee stock purchase plan” under Section 423(b) of the Code.</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84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Shares</w:t>
      </w:r>
      <w:r>
        <w:rPr>
          <w:rFonts w:ascii="Times New Roman" w:cs="Times New Roman" w:eastAsia="Times New Roman" w:hAnsi="Times New Roman"/>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or contributions accumulated on behalf of each Participant that would otherwise be used to purchase Common Stock on such Exercise Date.</w:t>
      </w:r>
    </w:p>
    <w:p>
      <w:pPr>
        <w:spacing w:after="0" w:line="179" w:lineRule="exact"/>
        <w:rPr>
          <w:rFonts w:ascii="Times New Roman" w:cs="Times New Roman" w:eastAsia="Times New Roman" w:hAnsi="Times New Roman"/>
          <w:sz w:val="18"/>
          <w:szCs w:val="18"/>
          <w:color w:val="auto"/>
        </w:rPr>
      </w:pPr>
    </w:p>
    <w:p>
      <w:pPr>
        <w:ind w:right="80" w:firstLine="436"/>
        <w:spacing w:after="0" w:line="266" w:lineRule="auto"/>
        <w:tabs>
          <w:tab w:leader="none" w:pos="84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 The Plan may be terminated at any time by the Board. Upon termination of the Plan, all amounts in the accounts of Participants shall be promptly refunded. Unless terminated earlier, the Plan shall automatically terminate on the ten year anniversary of the Effective Date.</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84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The Company’s obligation to sell and deliver Common Stock under the Plan is subject to applicable laws and the completion of any registration or qualification of the Common Stock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shall,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w:t>
      </w:r>
    </w:p>
    <w:p>
      <w:pPr>
        <w:spacing w:after="0" w:line="187" w:lineRule="exact"/>
        <w:rPr>
          <w:rFonts w:ascii="Times New Roman" w:cs="Times New Roman" w:eastAsia="Times New Roman" w:hAnsi="Times New Roman"/>
          <w:sz w:val="18"/>
          <w:szCs w:val="18"/>
          <w:color w:val="auto"/>
        </w:rPr>
      </w:pPr>
    </w:p>
    <w:p>
      <w:pPr>
        <w:ind w:right="100" w:firstLine="436"/>
        <w:spacing w:after="0" w:line="266" w:lineRule="auto"/>
        <w:tabs>
          <w:tab w:leader="none" w:pos="84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89" w:name="page390"/>
    <w:bookmarkEnd w:id="389"/>
    <w:p>
      <w:pPr>
        <w:ind w:right="120" w:firstLine="436"/>
        <w:spacing w:after="0" w:line="282" w:lineRule="auto"/>
        <w:tabs>
          <w:tab w:leader="none" w:pos="8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Shares</w:t>
      </w:r>
      <w:r>
        <w:rPr>
          <w:rFonts w:ascii="Times New Roman" w:cs="Times New Roman" w:eastAsia="Times New Roman" w:hAnsi="Times New Roman"/>
          <w:sz w:val="18"/>
          <w:szCs w:val="18"/>
          <w:color w:val="auto"/>
        </w:rPr>
        <w:t>. Shares may be issued upon exercise of an Option from authorized but unissued Common Stock, from shares held in the treasury of the Company, or from any other proper source.</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8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withhold from the proceeds of the sale of Common Stock or use any other method of withholding that the Company or any Subsidiary or Affiliate deems appropriate to the extent permitted by U.S. Treasury Regulation Section 1.423-2(f) with respect to the 423 Component. The Company will not be required to issue any Common Stock under the Plan until such obligations are satisfied.</w:t>
      </w:r>
    </w:p>
    <w:p>
      <w:pPr>
        <w:spacing w:after="0" w:line="191" w:lineRule="exact"/>
        <w:rPr>
          <w:rFonts w:ascii="Times New Roman" w:cs="Times New Roman" w:eastAsia="Times New Roman" w:hAnsi="Times New Roman"/>
          <w:sz w:val="18"/>
          <w:szCs w:val="18"/>
          <w:color w:val="auto"/>
        </w:rPr>
      </w:pPr>
    </w:p>
    <w:p>
      <w:pPr>
        <w:ind w:right="20" w:firstLine="436"/>
        <w:spacing w:after="0" w:line="266" w:lineRule="auto"/>
        <w:tabs>
          <w:tab w:leader="none" w:pos="8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Upon Sale of Shares under the 423 Component</w:t>
      </w:r>
      <w:r>
        <w:rPr>
          <w:rFonts w:ascii="Times New Roman" w:cs="Times New Roman" w:eastAsia="Times New Roman" w:hAnsi="Times New Roman"/>
          <w:sz w:val="18"/>
          <w:szCs w:val="18"/>
          <w:color w:val="auto"/>
        </w:rPr>
        <w:t>. Each Participant agrees, by entering the 423 Component of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8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Approval of Stockholders</w:t>
      </w:r>
      <w:r>
        <w:rPr>
          <w:rFonts w:ascii="Times New Roman" w:cs="Times New Roman" w:eastAsia="Times New Roman" w:hAnsi="Times New Roman"/>
          <w:sz w:val="18"/>
          <w:szCs w:val="18"/>
          <w:color w:val="auto"/>
        </w:rPr>
        <w:t>. The Plan shall take effect on the Closing Date subject to approval by the holders of a majority of the votes cast at a meeting of stockholders at which a quorum is present or by written consent of the stockholders.</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8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Equal Rights and Privileges.</w:t>
      </w:r>
      <w:r>
        <w:rPr>
          <w:rFonts w:ascii="Times New Roman" w:cs="Times New Roman" w:eastAsia="Times New Roman" w:hAnsi="Times New Roman"/>
          <w:sz w:val="18"/>
          <w:szCs w:val="18"/>
          <w:color w:val="auto"/>
        </w:rPr>
        <w:t xml:space="preserve"> Notwithstanding any provision of the Plan to the contrary and in accordance with Section 423 of the Code for the 423 Component of the Plan, all eligible employees who are granted options under the Plan shall have the same rights and privileges.</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8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Neither the Plan nor any compensation paid hereunder will confer on any Participant the right to continue as an employee or in any other capacity.</w:t>
      </w:r>
    </w:p>
    <w:p>
      <w:pPr>
        <w:spacing w:after="0" w:line="161" w:lineRule="exact"/>
        <w:rPr>
          <w:rFonts w:ascii="Times New Roman" w:cs="Times New Roman" w:eastAsia="Times New Roman" w:hAnsi="Times New Roman"/>
          <w:sz w:val="18"/>
          <w:szCs w:val="18"/>
          <w:color w:val="auto"/>
        </w:rPr>
      </w:pPr>
    </w:p>
    <w:p>
      <w:pPr>
        <w:ind w:right="200" w:firstLine="436"/>
        <w:spacing w:after="0" w:line="282" w:lineRule="auto"/>
        <w:tabs>
          <w:tab w:leader="none" w:pos="84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Plan</w:t>
      </w:r>
      <w:r>
        <w:rPr>
          <w:rFonts w:ascii="Times New Roman" w:cs="Times New Roman" w:eastAsia="Times New Roman" w:hAnsi="Times New Roman"/>
          <w:sz w:val="18"/>
          <w:szCs w:val="18"/>
          <w:color w:val="auto"/>
        </w:rPr>
        <w:t>. This Plan constitutes the entire plan with respect to the subject matter hereof and supersedes all prior plans with respect to the subject matter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November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November 3, 2023</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390" w:name="page391"/>
    <w:bookmarkEnd w:id="3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Designated Companies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266" w:right="1440"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between Korro Bio,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together with its subsidiaries, including Korro Bio Ops,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Shelby Walker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is effective as of the date it is fully executed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Except with respect to the Equity Documents (as defined below) and subject to Section 12, this Agreement supersedes in all respects all prior agreements between the Executive and the Company regarding the subject matter herein, including without limitation (i) the Employment Agreement between the Executive and the Company dated March 29, 2023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and (ii) any other offer letter, employment agreement or severance agreement.</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and the Executive desires to continue to be employed by the Company on the new terms and conditions contained herein.</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760" w:hanging="324"/>
        <w:spacing w:after="0"/>
        <w:tabs>
          <w:tab w:leader="none" w:pos="7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4" w:lineRule="auto"/>
        <w:tabs>
          <w:tab w:leader="none" w:pos="137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Korro Bio Ops, Inc. initially will be the Executive’s employer of record and will maintain and distribute employment-related records. In the interest of clarity, any intercompany transfer from Korro Bio Ops, Inc. to Parent or another entity within the definition of “Company” shall not be deemed a termination of the employment relationship unless otherwise specified at the time of the transfer. The Executive’s employment with the Company shall continue to be “at will,” meaning that the Executive’s employment may be terminated by the Company or the Executive at any time and for any reason subject to the terms of this Agreement. The duties of the Company set forth in this Agreement may be discharged by any entity within the definition of “Company” set forth above.</w:t>
      </w:r>
    </w:p>
    <w:p>
      <w:pPr>
        <w:spacing w:after="0" w:line="191" w:lineRule="exact"/>
        <w:rPr>
          <w:rFonts w:ascii="Times New Roman" w:cs="Times New Roman" w:eastAsia="Times New Roman" w:hAnsi="Times New Roman"/>
          <w:sz w:val="18"/>
          <w:szCs w:val="18"/>
          <w:color w:val="auto"/>
        </w:rPr>
      </w:pPr>
    </w:p>
    <w:p>
      <w:pPr>
        <w:ind w:right="100" w:firstLine="987"/>
        <w:spacing w:after="0" w:line="256" w:lineRule="auto"/>
        <w:tabs>
          <w:tab w:leader="none" w:pos="138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The Executive shall serve as Senior Vice President, General Counsel of the Company and shall have such powers and duties as may from time to time be prescribed by the Chief Executive Officer (the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or other duly authorized executive. The Executive shall devote the Executive’s full working time and efforts to the business and affairs of the Company. Notwithstanding the foregoing, the Executive may serve on other boards of directors, with the approval of the Board of Directors of Parent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engage in religious, charitable or other community activities as long as such services and activities do not interfere with the Executive’s performance of the Executive’s duties to the Company.</w:t>
      </w:r>
    </w:p>
    <w:p>
      <w:pPr>
        <w:sectPr>
          <w:pgSz w:w="11900" w:h="16838" w:orient="portrait"/>
          <w:cols w:equalWidth="0" w:num="1">
            <w:col w:w="11020"/>
          </w:cols>
          <w:pgMar w:left="440" w:top="117" w:right="439" w:bottom="1440" w:gutter="0" w:footer="0" w:header="0"/>
        </w:sectPr>
      </w:pPr>
    </w:p>
    <w:bookmarkStart w:id="392" w:name="page393"/>
    <w:bookmarkEnd w:id="392"/>
    <w:p>
      <w:pPr>
        <w:ind w:left="-20" w:right="440" w:firstLine="987"/>
        <w:spacing w:after="0" w:line="282" w:lineRule="auto"/>
        <w:tabs>
          <w:tab w:leader="none" w:pos="135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Location</w:t>
      </w:r>
      <w:r>
        <w:rPr>
          <w:rFonts w:ascii="Times New Roman" w:cs="Times New Roman" w:eastAsia="Times New Roman" w:hAnsi="Times New Roman"/>
          <w:sz w:val="18"/>
          <w:szCs w:val="18"/>
          <w:color w:val="auto"/>
        </w:rPr>
        <w:t>. The Executive shall work in the Company’s offices, currently located in Cambridge, Massachusetts, provided that the Executive may be required to travel for business from time to time, consistent with the Company’s business needs.</w:t>
      </w:r>
    </w:p>
    <w:p>
      <w:pPr>
        <w:spacing w:after="0" w:line="161"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35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Executive’s initial base salary shall be paid at the rate of $395,000 per year. The Executive’s base salary shall be subject to periodic review by the Board or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base salary in effect at any given time is referred to herein as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shall be payable in a manner that is consistent with the Company’s usual payroll practices for its executives.</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36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Executive shall be eligible to receive cash incentive compensation as determined by the Board or the Compensation Committee from time to time. The Executive’s initial target annual incentive bonus shall be 35 percent of the Executive’s Base Salary, with any incentive bonus for 2023 to be prorated based on the Executive’s days of employment with the Company during 2023. The Executive’s target annual incentive bonus may be reviewed by the Board or the Compensation Committee from time to time in its discretion. The target annual incentive bonus in effect at any given time is referred to herein as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actual amount of the Executive’s annual incentive bonus, if any, shall be determined in the sole discretion of the Board or the Compensation Committee, subject to the terms of any applicable incentive compensation plan that may be in effect from time to time. Except as otherwise provided herein, as may be provided by the Board or the Compensation Committee or as may otherwise be set forth in an applicable incentive compensation plan, the Executive must be employed by the Company on the date such incentive bonus is paid in order to earn or receive any annual incentive bonus.</w:t>
      </w:r>
    </w:p>
    <w:p>
      <w:pPr>
        <w:spacing w:after="0" w:line="188"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35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executives.</w:t>
      </w:r>
    </w:p>
    <w:p>
      <w:pPr>
        <w:spacing w:after="0" w:line="175" w:lineRule="exact"/>
        <w:rPr>
          <w:rFonts w:ascii="Times New Roman" w:cs="Times New Roman" w:eastAsia="Times New Roman" w:hAnsi="Times New Roman"/>
          <w:sz w:val="18"/>
          <w:szCs w:val="18"/>
          <w:color w:val="auto"/>
        </w:rPr>
      </w:pPr>
    </w:p>
    <w:p>
      <w:pPr>
        <w:ind w:left="-20" w:right="220" w:firstLine="987"/>
        <w:spacing w:after="0" w:line="282" w:lineRule="auto"/>
        <w:tabs>
          <w:tab w:leader="none" w:pos="136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The Executive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left="-20" w:firstLine="987"/>
        <w:spacing w:after="0" w:line="282" w:lineRule="auto"/>
        <w:tabs>
          <w:tab w:leader="none" w:pos="135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The Executive shall be entitled to take paid time off in accordance with the Company’s applicable paid time off policy for executives, as may be in effect from time to time.</w:t>
      </w:r>
    </w:p>
    <w:p>
      <w:pPr>
        <w:spacing w:after="0" w:line="161" w:lineRule="exact"/>
        <w:rPr>
          <w:rFonts w:ascii="Times New Roman" w:cs="Times New Roman" w:eastAsia="Times New Roman" w:hAnsi="Times New Roman"/>
          <w:sz w:val="18"/>
          <w:szCs w:val="18"/>
          <w:color w:val="auto"/>
        </w:rPr>
      </w:pPr>
    </w:p>
    <w:p>
      <w:pPr>
        <w:ind w:left="-20" w:right="100" w:firstLine="987"/>
        <w:spacing w:after="0" w:line="258" w:lineRule="auto"/>
        <w:tabs>
          <w:tab w:leader="none" w:pos="133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the Executive shall continue to be governed by the terms and conditions of the Company’s applicable equity incentive plan(s) and the applicable award agreement(s) governing the terms of such equity awards (collectively,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and notwithstanding anything to the contrary in the Equity Documents, Section 6(a)(ii) of this Agreement shall apply in the event of a termination by the Company without Cause or by the Executive for Good Reason in either event within the Change in Control Period (as such terms are defined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93" w:name="page394"/>
    <w:bookmarkEnd w:id="393"/>
    <w:p>
      <w:pPr>
        <w:ind w:left="4" w:right="680" w:firstLine="436"/>
        <w:spacing w:after="0" w:line="282" w:lineRule="auto"/>
        <w:tabs>
          <w:tab w:leader="none" w:pos="75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Executive’s employment hereunder may be terminated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death.</w:t>
      </w:r>
    </w:p>
    <w:p>
      <w:pPr>
        <w:spacing w:after="0" w:line="225" w:lineRule="exact"/>
        <w:rPr>
          <w:rFonts w:ascii="Times New Roman" w:cs="Times New Roman" w:eastAsia="Times New Roman" w:hAnsi="Times New Roman"/>
          <w:sz w:val="18"/>
          <w:szCs w:val="18"/>
          <w:color w:val="auto"/>
        </w:rPr>
      </w:pPr>
    </w:p>
    <w:p>
      <w:pPr>
        <w:ind w:left="4" w:firstLine="987"/>
        <w:spacing w:after="0" w:line="253" w:lineRule="auto"/>
        <w:tabs>
          <w:tab w:leader="none" w:pos="1385"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91"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375"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the Executive’s employment hereunder for Cause.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161" w:lineRule="exact"/>
        <w:rPr>
          <w:rFonts w:ascii="Times New Roman" w:cs="Times New Roman" w:eastAsia="Times New Roman" w:hAnsi="Times New Roman"/>
          <w:sz w:val="18"/>
          <w:szCs w:val="18"/>
          <w:color w:val="auto"/>
        </w:rPr>
      </w:pPr>
    </w:p>
    <w:p>
      <w:pPr>
        <w:ind w:left="4" w:right="180" w:firstLine="1428"/>
        <w:spacing w:after="0" w:line="276" w:lineRule="auto"/>
        <w:tabs>
          <w:tab w:leader="none" w:pos="1786" w:val="left"/>
        </w:tabs>
        <w:numPr>
          <w:ilvl w:val="3"/>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by the Executive constituting a material act of misconduct in connection with the performance of the Executive’s duties, including, without limitation, (A) willful failure or refusal to perform material responsibilities that have been requested by the Board or CEO;</w:t>
      </w:r>
    </w:p>
    <w:p>
      <w:pPr>
        <w:ind w:left="4" w:right="340" w:hanging="4"/>
        <w:spacing w:after="0" w:line="260" w:lineRule="auto"/>
        <w:tabs>
          <w:tab w:leader="none" w:pos="28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dishonesty to the Board or CEO with respect to any material matter; or (C)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81" w:lineRule="exact"/>
        <w:rPr>
          <w:rFonts w:ascii="Times New Roman" w:cs="Times New Roman" w:eastAsia="Times New Roman" w:hAnsi="Times New Roman"/>
          <w:sz w:val="18"/>
          <w:szCs w:val="18"/>
          <w:color w:val="auto"/>
        </w:rPr>
      </w:pPr>
    </w:p>
    <w:p>
      <w:pPr>
        <w:ind w:left="4" w:right="340" w:firstLine="1428"/>
        <w:spacing w:after="0" w:line="282" w:lineRule="auto"/>
        <w:tabs>
          <w:tab w:leader="none" w:pos="1836" w:val="left"/>
        </w:tabs>
        <w:numPr>
          <w:ilvl w:val="3"/>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the Executive of acts satisfying the elements of (A) any felony or (B) a misdemeanor involving moral turpitude, deceit, dishonesty or fraud;</w:t>
      </w:r>
    </w:p>
    <w:p>
      <w:pPr>
        <w:spacing w:after="0" w:line="161"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886" w:val="left"/>
        </w:tabs>
        <w:numPr>
          <w:ilvl w:val="3"/>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misconduct by the Executive, regardless of whether or not in the course of the Executive’s employment, that would reasonably be expected to result in material injury or reputational harm to the Company or any of its subsidiaries or affiliates if the Executive were to continue to be employed in the same position;</w:t>
      </w:r>
    </w:p>
    <w:p>
      <w:pPr>
        <w:spacing w:after="0" w:line="10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4"/>
          </w:cols>
          <w:pgMar w:left="436" w:top="270" w:right="579" w:bottom="1440" w:gutter="0" w:footer="0" w:header="0"/>
        </w:sectPr>
      </w:pPr>
    </w:p>
    <w:bookmarkStart w:id="394" w:name="page395"/>
    <w:bookmarkEnd w:id="394"/>
    <w:p>
      <w:pPr>
        <w:ind w:right="160" w:firstLine="1428"/>
        <w:spacing w:after="0" w:line="266" w:lineRule="auto"/>
        <w:tabs>
          <w:tab w:leader="none" w:pos="1872"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continued non-performance by the Executive of the Executive’s duties hereunder (other than by reason of the Executive’s physical or mental illness, incapacity or disability) which has continued for more than 30 days following written notice of such non-performance from the Board or CEO;</w:t>
      </w:r>
    </w:p>
    <w:p>
      <w:pPr>
        <w:spacing w:after="0" w:line="175" w:lineRule="exact"/>
        <w:rPr>
          <w:rFonts w:ascii="Times New Roman" w:cs="Times New Roman" w:eastAsia="Times New Roman" w:hAnsi="Times New Roman"/>
          <w:sz w:val="18"/>
          <w:szCs w:val="18"/>
          <w:color w:val="auto"/>
        </w:rPr>
      </w:pPr>
    </w:p>
    <w:p>
      <w:pPr>
        <w:ind w:right="620" w:firstLine="1428"/>
        <w:spacing w:after="0" w:line="282" w:lineRule="auto"/>
        <w:tabs>
          <w:tab w:leader="none" w:pos="1822"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Executive of any of the provisions contained in Section 8 of this Agreement or the Restrictive Covenants Agreement (as defined below);</w:t>
      </w:r>
    </w:p>
    <w:p>
      <w:pPr>
        <w:spacing w:after="0" w:line="161"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by the Executive of any of the Company’s written employment policies; or</w:t>
      </w:r>
    </w:p>
    <w:p>
      <w:pPr>
        <w:spacing w:after="0" w:line="225" w:lineRule="exact"/>
        <w:rPr>
          <w:rFonts w:ascii="Times New Roman" w:cs="Times New Roman" w:eastAsia="Times New Roman" w:hAnsi="Times New Roman"/>
          <w:sz w:val="18"/>
          <w:szCs w:val="18"/>
          <w:color w:val="auto"/>
        </w:rPr>
      </w:pPr>
    </w:p>
    <w:p>
      <w:pPr>
        <w:ind w:firstLine="1428"/>
        <w:spacing w:after="0" w:line="261" w:lineRule="auto"/>
        <w:tabs>
          <w:tab w:leader="none" w:pos="1922"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failure to reasonably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ind w:right="400" w:firstLine="987"/>
        <w:spacing w:after="0" w:line="261" w:lineRule="auto"/>
        <w:tabs>
          <w:tab w:leader="none" w:pos="138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9" w:lineRule="exact"/>
        <w:rPr>
          <w:rFonts w:ascii="Times New Roman" w:cs="Times New Roman" w:eastAsia="Times New Roman" w:hAnsi="Times New Roman"/>
          <w:sz w:val="18"/>
          <w:szCs w:val="18"/>
          <w:color w:val="auto"/>
        </w:rPr>
      </w:pPr>
    </w:p>
    <w:p>
      <w:pPr>
        <w:jc w:val="both"/>
        <w:ind w:right="260" w:firstLine="987"/>
        <w:spacing w:after="0" w:line="261" w:lineRule="auto"/>
        <w:tabs>
          <w:tab w:leader="none" w:pos="137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responsibilities, authority or duties;</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78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except for across-the-board salary reductions based on the Company’s financial performance similarly affecting all or substantially all senior management employees of the Company;</w:t>
      </w:r>
    </w:p>
    <w:p>
      <w:pPr>
        <w:spacing w:after="0" w:line="53"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83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the Executive is regularly required to provide services to the Company (excluding any approved remote work arrangement or business travel), such that there is an increase of at least thirty (30) miles of driving distance to such location from the Executive’s principal residence as of such change; or</w:t>
      </w:r>
    </w:p>
    <w:p>
      <w:pPr>
        <w:spacing w:after="0" w:line="67" w:lineRule="exact"/>
        <w:rPr>
          <w:rFonts w:ascii="Times New Roman" w:cs="Times New Roman" w:eastAsia="Times New Roman" w:hAnsi="Times New Roman"/>
          <w:sz w:val="18"/>
          <w:szCs w:val="18"/>
          <w:color w:val="auto"/>
        </w:rPr>
      </w:pPr>
    </w:p>
    <w:p>
      <w:pPr>
        <w:ind w:left="1820" w:hanging="432"/>
        <w:spacing w:after="0"/>
        <w:tabs>
          <w:tab w:leader="none" w:pos="182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consists of the following steps: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395" w:name="page396"/>
    <w:bookmarkEnd w:id="395"/>
    <w:p>
      <w:pPr>
        <w:ind w:left="1744" w:hanging="352"/>
        <w:spacing w:after="0"/>
        <w:tabs>
          <w:tab w:leader="none" w:pos="174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 reasonably determines in good faith that a Good Reason Condition has occurred;</w:t>
      </w:r>
    </w:p>
    <w:p>
      <w:pPr>
        <w:spacing w:after="0" w:line="117" w:lineRule="exact"/>
        <w:rPr>
          <w:rFonts w:ascii="Times New Roman" w:cs="Times New Roman" w:eastAsia="Times New Roman" w:hAnsi="Times New Roman"/>
          <w:sz w:val="18"/>
          <w:szCs w:val="18"/>
          <w:color w:val="auto"/>
        </w:rPr>
      </w:pPr>
    </w:p>
    <w:p>
      <w:pPr>
        <w:ind w:left="984" w:right="120" w:firstLine="408"/>
        <w:spacing w:after="0" w:line="282" w:lineRule="auto"/>
        <w:tabs>
          <w:tab w:leader="none" w:pos="178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notifies the Company in writing of the first occurrence of the Good Reason Condition within 90 days of the first occurrence of such condition;</w:t>
      </w:r>
    </w:p>
    <w:p>
      <w:pPr>
        <w:spacing w:after="0" w:line="53" w:lineRule="exact"/>
        <w:rPr>
          <w:rFonts w:ascii="Times New Roman" w:cs="Times New Roman" w:eastAsia="Times New Roman" w:hAnsi="Times New Roman"/>
          <w:sz w:val="18"/>
          <w:szCs w:val="18"/>
          <w:color w:val="auto"/>
        </w:rPr>
      </w:pPr>
    </w:p>
    <w:p>
      <w:pPr>
        <w:ind w:left="984" w:right="120" w:firstLine="408"/>
        <w:spacing w:after="0" w:line="282" w:lineRule="auto"/>
        <w:tabs>
          <w:tab w:leader="none" w:pos="183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cooperates in good faith with the Company’s efforts, for a period of not less than 30 days following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Good Reason Condition;</w:t>
      </w:r>
    </w:p>
    <w:p>
      <w:pPr>
        <w:spacing w:after="0" w:line="53" w:lineRule="exact"/>
        <w:rPr>
          <w:rFonts w:ascii="Times New Roman" w:cs="Times New Roman" w:eastAsia="Times New Roman" w:hAnsi="Times New Roman"/>
          <w:sz w:val="18"/>
          <w:szCs w:val="18"/>
          <w:color w:val="auto"/>
        </w:rPr>
      </w:pPr>
    </w:p>
    <w:p>
      <w:pPr>
        <w:ind w:left="1824" w:hanging="432"/>
        <w:spacing w:after="0"/>
        <w:tabs>
          <w:tab w:leader="none" w:pos="18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efforts, the Good Reason Condition continues to exist at the end of the Cure Period; and</w:t>
      </w:r>
    </w:p>
    <w:p>
      <w:pPr>
        <w:spacing w:after="0" w:line="117" w:lineRule="exact"/>
        <w:rPr>
          <w:rFonts w:ascii="Times New Roman" w:cs="Times New Roman" w:eastAsia="Times New Roman" w:hAnsi="Times New Roman"/>
          <w:sz w:val="18"/>
          <w:szCs w:val="18"/>
          <w:color w:val="auto"/>
        </w:rPr>
      </w:pPr>
    </w:p>
    <w:p>
      <w:pPr>
        <w:ind w:left="1784" w:hanging="392"/>
        <w:spacing w:after="0"/>
        <w:tabs>
          <w:tab w:leader="none" w:pos="178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terminates employment within 90 days after the end of the Cure Period.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764" w:hanging="324"/>
        <w:spacing w:after="0"/>
        <w:tabs>
          <w:tab w:leader="none" w:pos="76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related to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987"/>
        <w:spacing w:after="0" w:line="289" w:lineRule="auto"/>
        <w:tabs>
          <w:tab w:leader="none" w:pos="1375" w:val="left"/>
        </w:tabs>
        <w:numPr>
          <w:ilvl w:val="2"/>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shall mean a notice which shall indicate the specific termination provision in this Agreement relied upon.</w:t>
      </w:r>
    </w:p>
    <w:p>
      <w:pPr>
        <w:spacing w:after="0" w:line="157" w:lineRule="exact"/>
        <w:rPr>
          <w:rFonts w:ascii="Times New Roman" w:cs="Times New Roman" w:eastAsia="Times New Roman" w:hAnsi="Times New Roman"/>
          <w:sz w:val="17"/>
          <w:szCs w:val="17"/>
          <w:color w:val="auto"/>
        </w:rPr>
      </w:pPr>
    </w:p>
    <w:p>
      <w:pPr>
        <w:ind w:left="1384" w:hanging="393"/>
        <w:spacing w:after="0"/>
        <w:tabs>
          <w:tab w:leader="none" w:pos="1384"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the Executive’s employment is terminated by death, the date of death;</w:t>
      </w:r>
    </w:p>
    <w:p>
      <w:pPr>
        <w:spacing w:after="0" w:line="27" w:lineRule="exact"/>
        <w:rPr>
          <w:rFonts w:ascii="Times New Roman" w:cs="Times New Roman" w:eastAsia="Times New Roman" w:hAnsi="Times New Roman"/>
          <w:sz w:val="18"/>
          <w:szCs w:val="18"/>
          <w:color w:val="auto"/>
        </w:rPr>
      </w:pPr>
    </w:p>
    <w:p>
      <w:pPr>
        <w:ind w:left="4" w:right="20" w:hanging="4"/>
        <w:spacing w:after="0" w:line="265" w:lineRule="auto"/>
        <w:tabs>
          <w:tab w:leader="none" w:pos="269"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ind w:left="4" w:hanging="4"/>
        <w:spacing w:after="0" w:line="253" w:lineRule="auto"/>
        <w:tabs>
          <w:tab w:leader="none" w:pos="25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375"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the Executive’s authorized representative or estate) (i) any Base Salary earned through the Date of Termination and, if applicable, any accrued but unused vacation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96" w:name="page397"/>
    <w:bookmarkEnd w:id="396"/>
    <w:p>
      <w:pPr>
        <w:ind w:left="-20" w:right="240" w:firstLine="987"/>
        <w:spacing w:after="0" w:line="261" w:lineRule="auto"/>
        <w:tabs>
          <w:tab w:leader="none" w:pos="136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of All Other Positions</w:t>
      </w:r>
      <w:r>
        <w:rPr>
          <w:rFonts w:ascii="Times New Roman" w:cs="Times New Roman" w:eastAsia="Times New Roman" w:hAnsi="Times New Roman"/>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79" w:lineRule="exact"/>
        <w:rPr>
          <w:rFonts w:ascii="Times New Roman" w:cs="Times New Roman" w:eastAsia="Times New Roman" w:hAnsi="Times New Roman"/>
          <w:sz w:val="18"/>
          <w:szCs w:val="18"/>
          <w:color w:val="auto"/>
        </w:rPr>
      </w:pPr>
    </w:p>
    <w:p>
      <w:pPr>
        <w:ind w:left="-20" w:right="80" w:firstLine="436"/>
        <w:spacing w:after="0" w:line="253" w:lineRule="auto"/>
        <w:tabs>
          <w:tab w:leader="none" w:pos="7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18"/>
          <w:szCs w:val="18"/>
          <w:color w:val="auto"/>
        </w:rPr>
        <w:t>. If the Executive’s employment is terminated by the Company without Cause as provided in Section 3(d), or the Executive terminates employment for Good Reason as provided in Section 3(e), in each case outside of the Change in Control Period,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that shall not release the Executive’s rights under this Agreement, a reaffirmation of all of the Executive’s Continuing Obligations (as defined below), and, in the Company’s sole discretion, a one-year post-employment noncompetition agreement, and shall provide that if the Executive breaches any of the Continuing Obligations (as determined by the Board in good faith), all payments of the Severance Amount shall immediately cease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(ii) the Separation Agreement becoming irrevocable, all within 60 days after the Date of Termination (or such shorter period as set forth in the Separation Agreement), which shall include a seven (7) calendar day or seven (7) business day revocation period, as applicable:</w:t>
      </w:r>
    </w:p>
    <w:p>
      <w:pPr>
        <w:spacing w:after="0" w:line="194"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35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 amount equal to the sum of (i) six (6) months of the Executive’s Base Salary plus (ii) the Executive’s Target Bonus for the year in which the Date of Termination occurs, without regard to whether the metrics have been established or achieved for such year, with such bonus amount to be prorated to reflect the period during such year that the Executive was employed by the Company prior to the Date of Termination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20" w:firstLine="987"/>
        <w:spacing w:after="0" w:line="253" w:lineRule="auto"/>
        <w:tabs>
          <w:tab w:leader="none" w:pos="136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six (6)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if to the Executive, shall be subject to tax-related deductions and withholdings and paid on the Company’s regular payroll dates.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397" w:name="page398"/>
    <w:bookmarkEnd w:id="397"/>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amounts payable under Section 5, to the extent taxable, shall be paid out in substantially equal installments in accordance with the Company’s payroll practice over six (6) months commencing within 60 days after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shall begin to be paid in the second calendar year by the last day of such 60-day period;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9" w:lineRule="exact"/>
        <w:rPr>
          <w:sz w:val="20"/>
          <w:szCs w:val="20"/>
          <w:color w:val="auto"/>
        </w:rPr>
      </w:pPr>
    </w:p>
    <w:p>
      <w:pPr>
        <w:ind w:firstLine="436"/>
        <w:spacing w:after="0" w:line="254" w:lineRule="auto"/>
        <w:tabs>
          <w:tab w:leader="none" w:pos="75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within the Change in Control Period. These provisions shall terminate and be of no further force or effect after the Change in Control Period. For the avoidance of doubt, (i) in no event will the Executive be entitled to severance benefits under both Section 5 and Section 6 of this Agreement, and (ii)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37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Company without Cause as provided in Section 3(d) or the Executive terminates employment for Good Reason as provided in Section 3(e) and in each case the Date of Termination occurs within the Change in Control Period, then, in addition to the Accrued Obligations, and subject to the signing of a general release of claims against the Company and all related persons and entities that shall not release the Executive’s rights under this Agreement and shall not include any affirmative obligations of the Executive to the Company beyond the Executive’s existing obligations to the Company immediately preceding the Date of Termination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by the Executive and the Release becoming fully effective, all within the time frame set forth in the Release but in no event more than 60 days after the Date of Termination:</w:t>
      </w:r>
    </w:p>
    <w:p>
      <w:pPr>
        <w:spacing w:after="0" w:line="79" w:lineRule="exact"/>
        <w:rPr>
          <w:rFonts w:ascii="Times New Roman" w:cs="Times New Roman" w:eastAsia="Times New Roman" w:hAnsi="Times New Roman"/>
          <w:sz w:val="18"/>
          <w:szCs w:val="18"/>
          <w:color w:val="auto"/>
        </w:rPr>
      </w:pPr>
    </w:p>
    <w:p>
      <w:pPr>
        <w:ind w:left="980" w:right="100" w:firstLine="408"/>
        <w:spacing w:after="0" w:line="276" w:lineRule="auto"/>
        <w:tabs>
          <w:tab w:leader="none" w:pos="1731" w:val="left"/>
        </w:tabs>
        <w:numPr>
          <w:ilvl w:val="2"/>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the Executive a lump sum in cash in an amount equal to the sum of (A) nine (9) months of the Executive’s then-current Base Salary (or the Executive’s Base Salary in effect immediately prior to the Change in Control, if higher) plus</w:t>
      </w:r>
    </w:p>
    <w:p>
      <w:pPr>
        <w:ind w:left="9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75% of the Executive’s Target Bonus for the year in which the Date of Termination occurs, without regard to whether the metrics have been established or achieved for such year (the “</w:t>
      </w: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and</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398" w:name="page399"/>
    <w:bookmarkEnd w:id="398"/>
    <w:p>
      <w:pPr>
        <w:ind w:left="980" w:right="100" w:firstLine="408"/>
        <w:spacing w:after="0" w:line="253" w:lineRule="auto"/>
        <w:tabs>
          <w:tab w:leader="none" w:pos="178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any applicable option agreement or other stock-based award agreement, all stock options and other stock-based awards held by the Executive that are subject solely to time-based vesting (the “</w:t>
      </w:r>
      <w:r>
        <w:rPr>
          <w:rFonts w:ascii="Times New Roman" w:cs="Times New Roman" w:eastAsia="Times New Roman" w:hAnsi="Times New Roman"/>
          <w:sz w:val="18"/>
          <w:szCs w:val="18"/>
          <w:u w:val="single" w:color="auto"/>
          <w:color w:val="auto"/>
        </w:rPr>
        <w:t>Time-Based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shall immediately accelerate and become fully vested and exercisable or nonforfeitable as of the later of (i) the Date of Termination or the date of the Change in Control, as applicable or (ii) the effective date of the Release (the “</w:t>
      </w:r>
      <w:r>
        <w:rPr>
          <w:rFonts w:ascii="Times New Roman" w:cs="Times New Roman" w:eastAsia="Times New Roman" w:hAnsi="Times New Roman"/>
          <w:sz w:val="18"/>
          <w:szCs w:val="18"/>
          <w:u w:val="single" w:color="auto"/>
          <w:color w:val="auto"/>
        </w:rPr>
        <w:t>Accelerated Vesting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order to effectuate the accelerated vesting contemplated by this subsection, the unvested portion of the Executive’s Time-Based Equity Awards that would otherwise terminate or be forfeited on the Date of Termination will be delayed until the earlier of (A) the date on which both a Change in Control and the effective date of the Release has occurred (at which time acceleration will occur), or</w:t>
      </w:r>
    </w:p>
    <w:p>
      <w:pPr>
        <w:spacing w:after="0" w:line="2" w:lineRule="exact"/>
        <w:rPr>
          <w:rFonts w:ascii="Times New Roman" w:cs="Times New Roman" w:eastAsia="Times New Roman" w:hAnsi="Times New Roman"/>
          <w:sz w:val="18"/>
          <w:szCs w:val="18"/>
          <w:color w:val="auto"/>
        </w:rPr>
      </w:pPr>
    </w:p>
    <w:p>
      <w:pPr>
        <w:ind w:left="980" w:firstLine="7"/>
        <w:spacing w:after="0" w:line="255" w:lineRule="auto"/>
        <w:tabs>
          <w:tab w:leader="none" w:pos="126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Release can no longer become fully effective (at which time the unvested portion of the Executive’s Time-Based Equity Awards will terminate or be forfeited). Notwithstanding the foregoing, no additional vesting of the Time-Based Equity Awards shall occur during the period between the Date of Termination and the Accelerated Vesting Date; and</w:t>
      </w:r>
    </w:p>
    <w:p>
      <w:pPr>
        <w:spacing w:after="0" w:line="77" w:lineRule="exact"/>
        <w:rPr>
          <w:rFonts w:ascii="Times New Roman" w:cs="Times New Roman" w:eastAsia="Times New Roman" w:hAnsi="Times New Roman"/>
          <w:sz w:val="18"/>
          <w:szCs w:val="18"/>
          <w:color w:val="auto"/>
        </w:rPr>
      </w:pPr>
    </w:p>
    <w:p>
      <w:pPr>
        <w:ind w:left="980" w:right="80" w:firstLine="408"/>
        <w:spacing w:after="0" w:line="270" w:lineRule="auto"/>
        <w:tabs>
          <w:tab w:leader="none" w:pos="1831"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w:t>
      </w:r>
    </w:p>
    <w:p>
      <w:pPr>
        <w:spacing w:after="0" w:line="2" w:lineRule="exact"/>
        <w:rPr>
          <w:rFonts w:ascii="Times New Roman" w:cs="Times New Roman" w:eastAsia="Times New Roman" w:hAnsi="Times New Roman"/>
          <w:sz w:val="17"/>
          <w:szCs w:val="17"/>
          <w:color w:val="auto"/>
        </w:rPr>
      </w:pPr>
    </w:p>
    <w:p>
      <w:pPr>
        <w:ind w:left="980" w:right="20" w:firstLine="7"/>
        <w:spacing w:after="0" w:line="252" w:lineRule="auto"/>
        <w:tabs>
          <w:tab w:leader="none" w:pos="126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if to the Executive, shall be subject to tax-related deductions and withholdings and paid on the Company’s regular payroll dates.</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amounts payable under this Section 6(a), to the extent taxable, shall be paid or commence to be paid within 60 days after the Date of Termination or, if later, the Change in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80" w:lineRule="exact"/>
        <w:rPr>
          <w:sz w:val="20"/>
          <w:szCs w:val="20"/>
          <w:color w:val="auto"/>
        </w:rPr>
      </w:pPr>
    </w:p>
    <w:p>
      <w:pPr>
        <w:ind w:left="1380" w:hanging="393"/>
        <w:spacing w:after="0"/>
        <w:tabs>
          <w:tab w:leader="none" w:pos="13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2" w:lineRule="auto"/>
        <w:tabs>
          <w:tab w:leader="none" w:pos="172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w:t>
      </w:r>
    </w:p>
    <w:p>
      <w:pPr>
        <w:spacing w:after="0" w:line="5" w:lineRule="exact"/>
        <w:rPr>
          <w:rFonts w:ascii="Times New Roman" w:cs="Times New Roman" w:eastAsia="Times New Roman" w:hAnsi="Times New Roman"/>
          <w:sz w:val="18"/>
          <w:szCs w:val="18"/>
          <w:color w:val="auto"/>
        </w:rPr>
      </w:pPr>
    </w:p>
    <w:p>
      <w:pPr>
        <w:ind w:left="98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cash payments subject to Section 409A of the Code; (3) equity-based payments and acceleration; and (4) non-cash forms of benefits;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all the foregoing Aggregate Payments all amounts or payments that are not subject to calculation under Treas.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 §1.280G-1, Q&amp;A-24(b) or (c) shall be reduced before any amounts that are subject to calculation under Treas. Reg. §1.280G-1, Q&amp;A-24(b) or (c).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399" w:name="page400"/>
    <w:bookmarkEnd w:id="399"/>
    <w:p>
      <w:pPr>
        <w:ind w:left="-7" w:right="60" w:firstLine="408"/>
        <w:spacing w:after="0" w:line="256" w:lineRule="auto"/>
        <w:tabs>
          <w:tab w:leader="none" w:pos="793"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6(b), the “</w:t>
      </w:r>
      <w:r>
        <w:rPr>
          <w:rFonts w:ascii="Times New Roman" w:cs="Times New Roman" w:eastAsia="Times New Roman" w:hAnsi="Times New Roman"/>
          <w:sz w:val="18"/>
          <w:szCs w:val="18"/>
          <w:u w:val="single" w:color="auto"/>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9" w:lineRule="exact"/>
        <w:rPr>
          <w:rFonts w:ascii="Times New Roman" w:cs="Times New Roman" w:eastAsia="Times New Roman" w:hAnsi="Times New Roman"/>
          <w:sz w:val="18"/>
          <w:szCs w:val="18"/>
          <w:color w:val="auto"/>
        </w:rPr>
      </w:pPr>
    </w:p>
    <w:p>
      <w:pPr>
        <w:ind w:left="-7" w:firstLine="408"/>
        <w:spacing w:after="0" w:line="258" w:lineRule="auto"/>
        <w:tabs>
          <w:tab w:leader="none" w:pos="84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18"/>
          <w:szCs w:val="18"/>
          <w:color w:val="auto"/>
        </w:rPr>
      </w:pPr>
    </w:p>
    <w:p>
      <w:pPr>
        <w:ind w:left="373" w:hanging="373"/>
        <w:spacing w:after="0"/>
        <w:tabs>
          <w:tab w:leader="none" w:pos="37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7" w:lineRule="exact"/>
        <w:rPr>
          <w:rFonts w:ascii="Times New Roman" w:cs="Times New Roman" w:eastAsia="Times New Roman" w:hAnsi="Times New Roman"/>
          <w:sz w:val="18"/>
          <w:szCs w:val="18"/>
          <w:color w:val="auto"/>
        </w:rPr>
      </w:pPr>
    </w:p>
    <w:p>
      <w:pPr>
        <w:ind w:left="-7" w:right="20" w:firstLine="408"/>
        <w:spacing w:after="0" w:line="282" w:lineRule="auto"/>
        <w:tabs>
          <w:tab w:leader="none" w:pos="74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 “Sale Event” as defined in the Company’s 2023 Stock Option and Incentive Plan, as amended from time to time.</w:t>
      </w:r>
    </w:p>
    <w:p>
      <w:pPr>
        <w:spacing w:after="0" w:line="53" w:lineRule="exact"/>
        <w:rPr>
          <w:rFonts w:ascii="Times New Roman" w:cs="Times New Roman" w:eastAsia="Times New Roman" w:hAnsi="Times New Roman"/>
          <w:sz w:val="18"/>
          <w:szCs w:val="18"/>
          <w:color w:val="auto"/>
        </w:rPr>
      </w:pPr>
    </w:p>
    <w:p>
      <w:pPr>
        <w:jc w:val="both"/>
        <w:ind w:left="-7" w:firstLine="408"/>
        <w:spacing w:after="0" w:line="282" w:lineRule="auto"/>
        <w:tabs>
          <w:tab w:leader="none" w:pos="79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shall mean the period beginning on the date that is three (3) months immediately before the date of the first event constituting a Change in Control and ending on the 12 month anniversary of the first event constituting a Change in Control.</w:t>
      </w:r>
    </w:p>
    <w:p>
      <w:pPr>
        <w:spacing w:after="0" w:line="94"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93"/>
          </w:cols>
          <w:pgMar w:left="1427" w:top="270" w:right="479" w:bottom="1440" w:gutter="0" w:footer="0" w:header="0"/>
        </w:sectPr>
      </w:pPr>
    </w:p>
    <w:bookmarkStart w:id="400" w:name="page401"/>
    <w:bookmarkEnd w:id="400"/>
    <w:p>
      <w:pPr>
        <w:ind w:left="760" w:hanging="324"/>
        <w:spacing w:after="0"/>
        <w:tabs>
          <w:tab w:leader="none" w:pos="7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36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8" w:lineRule="exact"/>
        <w:rPr>
          <w:rFonts w:ascii="Times New Roman" w:cs="Times New Roman" w:eastAsia="Times New Roman" w:hAnsi="Times New Roman"/>
          <w:sz w:val="18"/>
          <w:szCs w:val="18"/>
          <w:color w:val="auto"/>
        </w:rPr>
      </w:pPr>
    </w:p>
    <w:p>
      <w:pPr>
        <w:ind w:right="100" w:firstLine="987"/>
        <w:spacing w:after="0" w:line="256" w:lineRule="auto"/>
        <w:tabs>
          <w:tab w:leader="none" w:pos="137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right="220" w:firstLine="987"/>
        <w:spacing w:after="0" w:line="261" w:lineRule="auto"/>
        <w:tabs>
          <w:tab w:leader="none" w:pos="136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37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01" w:name="page402"/>
    <w:bookmarkEnd w:id="401"/>
    <w:p>
      <w:pPr>
        <w:jc w:val="both"/>
        <w:ind w:left="-80" w:right="40" w:firstLine="987"/>
        <w:spacing w:after="0" w:line="266" w:lineRule="auto"/>
        <w:tabs>
          <w:tab w:leader="none" w:pos="1288"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 w:right="80" w:firstLine="987"/>
        <w:spacing w:after="0" w:line="256" w:lineRule="auto"/>
        <w:tabs>
          <w:tab w:leader="none" w:pos="129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As a condition of the Executive’s continued employment, the Executive shall enter into the Employee Proprietary Information and Inventions Assignment Agreement attached hereto as Exhibit A (the “</w:t>
      </w: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For the avoidance of doubt, all restrictive covenants obligations are supplemental to one another, and in the event of any conflict between restrictive covenants obligations, the most restrictive provision that is enforceable shall govern.</w:t>
      </w:r>
    </w:p>
    <w:p>
      <w:pPr>
        <w:spacing w:after="0" w:line="187" w:lineRule="exact"/>
        <w:rPr>
          <w:rFonts w:ascii="Times New Roman" w:cs="Times New Roman" w:eastAsia="Times New Roman" w:hAnsi="Times New Roman"/>
          <w:sz w:val="18"/>
          <w:szCs w:val="18"/>
          <w:color w:val="auto"/>
        </w:rPr>
      </w:pPr>
    </w:p>
    <w:p>
      <w:pPr>
        <w:ind w:left="-80" w:right="80" w:firstLine="987"/>
        <w:spacing w:after="0" w:line="254" w:lineRule="auto"/>
        <w:tabs>
          <w:tab w:leader="none" w:pos="130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1" w:lineRule="exact"/>
        <w:rPr>
          <w:rFonts w:ascii="Times New Roman" w:cs="Times New Roman" w:eastAsia="Times New Roman" w:hAnsi="Times New Roman"/>
          <w:sz w:val="18"/>
          <w:szCs w:val="18"/>
          <w:color w:val="auto"/>
        </w:rPr>
      </w:pPr>
    </w:p>
    <w:p>
      <w:pPr>
        <w:ind w:left="-80" w:firstLine="987"/>
        <w:spacing w:after="0" w:line="253" w:lineRule="auto"/>
        <w:tabs>
          <w:tab w:leader="none" w:pos="129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520" w:top="270" w:right="519" w:bottom="1440" w:gutter="0" w:footer="0" w:header="0"/>
        </w:sectPr>
      </w:pPr>
    </w:p>
    <w:bookmarkStart w:id="402" w:name="page403"/>
    <w:bookmarkEnd w:id="402"/>
    <w:p>
      <w:pPr>
        <w:ind w:left="-20" w:right="120" w:firstLine="987"/>
        <w:spacing w:after="0" w:line="258" w:lineRule="auto"/>
        <w:tabs>
          <w:tab w:leader="none" w:pos="1361"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Relief</w:t>
      </w:r>
      <w:r>
        <w:rPr>
          <w:rFonts w:ascii="Times New Roman" w:cs="Times New Roman" w:eastAsia="Times New Roman" w:hAnsi="Times New Roman"/>
          <w:sz w:val="18"/>
          <w:szCs w:val="18"/>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ind w:left="-20" w:right="60" w:firstLine="436"/>
        <w:spacing w:after="0" w:line="282" w:lineRule="auto"/>
        <w:tabs>
          <w:tab w:leader="none" w:pos="73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the Executive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shall remain in full force and effect.</w:t>
      </w:r>
    </w:p>
    <w:p>
      <w:pPr>
        <w:spacing w:after="0" w:line="161" w:lineRule="exact"/>
        <w:rPr>
          <w:rFonts w:ascii="Times New Roman" w:cs="Times New Roman" w:eastAsia="Times New Roman" w:hAnsi="Times New Roman"/>
          <w:sz w:val="18"/>
          <w:szCs w:val="18"/>
          <w:color w:val="auto"/>
        </w:rPr>
      </w:pPr>
    </w:p>
    <w:p>
      <w:pPr>
        <w:jc w:val="both"/>
        <w:ind w:left="-20" w:firstLine="436"/>
        <w:spacing w:after="0" w:line="261" w:lineRule="auto"/>
        <w:tabs>
          <w:tab w:leader="none" w:pos="82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81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83"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82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Agreement constitutes the entire agreement between the parties with respect to the subject matter hereof and supersedes all prior agreements between the parties concerning such subject matter, including the Prior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Equity Documents, the Continuing Obligations and the Indemnification Agreement remain in full force and effect.</w:t>
      </w:r>
    </w:p>
    <w:p>
      <w:pPr>
        <w:spacing w:after="0" w:line="175"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82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403" w:name="page404"/>
    <w:bookmarkEnd w:id="403"/>
    <w:p>
      <w:pPr>
        <w:ind w:firstLine="436"/>
        <w:spacing w:after="0" w:line="253" w:lineRule="auto"/>
        <w:tabs>
          <w:tab w:leader="none" w:pos="8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Successors and Assigns</w:t>
      </w:r>
      <w:r>
        <w:rPr>
          <w:rFonts w:ascii="Times New Roman" w:cs="Times New Roman" w:eastAsia="Times New Roman" w:hAnsi="Times New Roman"/>
          <w:sz w:val="18"/>
          <w:szCs w:val="18"/>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91"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8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right="620" w:firstLine="436"/>
        <w:spacing w:after="0" w:line="282" w:lineRule="auto"/>
        <w:tabs>
          <w:tab w:leader="none" w:pos="8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right="420" w:firstLine="436"/>
        <w:spacing w:after="0" w:line="266" w:lineRule="auto"/>
        <w:tabs>
          <w:tab w:leader="none" w:pos="8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Times New Roman" w:cs="Times New Roman" w:eastAsia="Times New Roman" w:hAnsi="Times New Roman"/>
          <w:sz w:val="18"/>
          <w:szCs w:val="18"/>
          <w:color w:val="auto"/>
        </w:rPr>
      </w:pPr>
    </w:p>
    <w:p>
      <w:pPr>
        <w:ind w:right="220" w:firstLine="436"/>
        <w:spacing w:after="0" w:line="258" w:lineRule="auto"/>
        <w:tabs>
          <w:tab w:leader="none" w:pos="8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CEO. Notices, requests, demands and other communications provided for by this Agreement shall also be sufficient if sent by email to the Company email address of the Executive or, in the case of Company, the Company email address of the CEO, with confirmation of receipt.</w:t>
      </w:r>
    </w:p>
    <w:p>
      <w:pPr>
        <w:spacing w:after="0" w:line="183" w:lineRule="exact"/>
        <w:rPr>
          <w:rFonts w:ascii="Times New Roman" w:cs="Times New Roman" w:eastAsia="Times New Roman" w:hAnsi="Times New Roman"/>
          <w:sz w:val="18"/>
          <w:szCs w:val="18"/>
          <w:color w:val="auto"/>
        </w:rPr>
      </w:pPr>
    </w:p>
    <w:p>
      <w:pPr>
        <w:ind w:right="200" w:firstLine="436"/>
        <w:spacing w:after="0" w:line="282" w:lineRule="auto"/>
        <w:tabs>
          <w:tab w:leader="none" w:pos="8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the Executive and by a duly authorized representative of the Company.</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84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Notwithstanding anything to the contrary in this Agreement, all severance pay and benefits provided to the Executive pursuant to Section 5 or Section 6 of this Agreement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404" w:name="page405"/>
    <w:bookmarkEnd w:id="404"/>
    <w:p>
      <w:pPr>
        <w:ind w:left="-40" w:right="300" w:firstLine="436"/>
        <w:spacing w:after="0" w:line="266" w:lineRule="auto"/>
        <w:tabs>
          <w:tab w:leader="none" w:pos="8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is a Delaware contract and shall be construed under and be governed in all respects by the laws of the State of Delaware, without giving effect to the conflict of laws principles thereof. With respect to any disputes concerning federal law, such disputes shall be determined in accordance with the law as it would be interpreted and applied by the United States Court of Appeals for the Third Circuit.</w:t>
      </w:r>
    </w:p>
    <w:p>
      <w:pPr>
        <w:spacing w:after="0" w:line="175" w:lineRule="exact"/>
        <w:rPr>
          <w:rFonts w:ascii="Times New Roman" w:cs="Times New Roman" w:eastAsia="Times New Roman" w:hAnsi="Times New Roman"/>
          <w:sz w:val="18"/>
          <w:szCs w:val="18"/>
          <w:color w:val="auto"/>
        </w:rPr>
      </w:pPr>
    </w:p>
    <w:p>
      <w:pPr>
        <w:ind w:left="-40" w:firstLine="436"/>
        <w:spacing w:after="0" w:line="282" w:lineRule="auto"/>
        <w:tabs>
          <w:tab w:leader="none" w:pos="8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1" w:lineRule="exact"/>
        <w:rPr>
          <w:rFonts w:ascii="Times New Roman" w:cs="Times New Roman" w:eastAsia="Times New Roman" w:hAnsi="Times New Roman"/>
          <w:sz w:val="18"/>
          <w:szCs w:val="18"/>
          <w:color w:val="auto"/>
        </w:rPr>
      </w:pPr>
    </w:p>
    <w:p>
      <w:pPr>
        <w:ind w:left="-40" w:firstLine="436"/>
        <w:spacing w:after="0" w:line="252" w:lineRule="auto"/>
        <w:tabs>
          <w:tab w:leader="none" w:pos="80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Executive acknowledges that the Executive may become subject to the Korro Bio, Inc. Compensation Recovery Policy adopted pursuant to Rule 10D-1 promulgated under the Securities Exchange Act of 1934 and Nasdaq Rule 5608, or any successor rule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Executive understands that if the Executive is or becomes subject to the Clawback Policy, the Company and/or the Board shall be entitled to recover all Erroneously Awarded Compensation (as defined in the Clawback Policy) from the Executive pursuant to such means as the Company and/or the Board may elect. The Executive agrees that the Executive shall take all required action to enable such recovery. The Executive understands that such recovery may be sought and occur after the Executive’s employment or service with the Company terminates. The Executive further agrees that the Executive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Executive hereby irrevocably agrees to forego such indemnification. The Executive acknowledges and agrees that the Executive has received and has had an opportunity to review the Clawback Policy. Any action by the Company to recover Erroneously Awarded Compensation under the Clawback Policy from the Executive shall not, whether alone or in combination with any other action, event or condition, be deemed (i) a Good Reason Condition or serve as a basis for a claim of constructive termination under any benefits or compensation arrangement applicable to the Executive, or (ii) to constitute a breach of a contract or other arrangement to which the Executive is a party. This Section 23 is a material term of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70" w:right="4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on behalf of itself and its subsidiaries,</w:t>
      </w:r>
    </w:p>
    <w:p>
      <w:pPr>
        <w:spacing w:after="0" w:line="250"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Its:</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Shelby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Shelby Walker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 November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9579"/>
          </w:cols>
          <w:pgMar w:left="880" w:top="270" w:right="1440" w:bottom="1440" w:gutter="0" w:footer="0" w:header="0"/>
        </w:sectPr>
      </w:pPr>
    </w:p>
    <w:bookmarkStart w:id="406" w:name="page407"/>
    <w:bookmarkEnd w:id="4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ectPr>
          <w:pgSz w:w="11900" w:h="16838" w:orient="portrait"/>
          <w:cols w:equalWidth="0" w:num="1">
            <w:col w:w="9019"/>
          </w:cols>
          <w:pgMar w:left="1440" w:top="266" w:right="1440"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between Korro Bio,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together with its subsidiaries, including Korro Bio Ops,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Steven Colletti, Ph.D.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is effective as of the date it is fully executed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Except with respect to the Equity Documents (as defined below) and subject to Section 12, this Agreement supersedes in all respects all prior agreements between the Executive and the Company regarding the subject matter herein, including without limitation (i) the Employment Agreement between the Executive and the Company dated January 20, 2023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and (ii) any other offer letter, employment agreement or severance agreement.</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and the Executive desires to continue to be employed by the Company on the new terms and conditions contained herein.</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760" w:hanging="324"/>
        <w:spacing w:after="0"/>
        <w:tabs>
          <w:tab w:leader="none" w:pos="7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4" w:lineRule="auto"/>
        <w:tabs>
          <w:tab w:leader="none" w:pos="137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Korro Bio Ops, Inc. initially will be the Executive’s employer of record and will maintain and distribute employment-related records. In the interest of clarity, any intercompany transfer from Korro Bio Ops, Inc. to Parent or another entity within the definition of “Company” shall not be deemed a termination of the employment relationship unless otherwise specified at the time of the transfer. The Executive’s employment with the Company shall continue to be “at will,” meaning that the Executive’s employment may be terminated by the Company or the Executive at any time and for any reason subject to the terms of this Agreement. The duties of the Company set forth in this Agreement may be discharged by any entity within the definition of “Company” set forth above.</w:t>
      </w:r>
    </w:p>
    <w:p>
      <w:pPr>
        <w:spacing w:after="0" w:line="191" w:lineRule="exact"/>
        <w:rPr>
          <w:rFonts w:ascii="Times New Roman" w:cs="Times New Roman" w:eastAsia="Times New Roman" w:hAnsi="Times New Roman"/>
          <w:sz w:val="18"/>
          <w:szCs w:val="18"/>
          <w:color w:val="auto"/>
        </w:rPr>
      </w:pPr>
    </w:p>
    <w:p>
      <w:pPr>
        <w:ind w:right="100" w:firstLine="987"/>
        <w:spacing w:after="0" w:line="277" w:lineRule="auto"/>
        <w:tabs>
          <w:tab w:leader="none" w:pos="1381"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 and Duties</w:t>
      </w:r>
      <w:r>
        <w:rPr>
          <w:rFonts w:ascii="Times New Roman" w:cs="Times New Roman" w:eastAsia="Times New Roman" w:hAnsi="Times New Roman"/>
          <w:sz w:val="17"/>
          <w:szCs w:val="17"/>
          <w:color w:val="auto"/>
        </w:rPr>
        <w:t>. The Executive shall serve as the Chief Scientific Officer of the Company and shall have such powers and duties as may from time to time be prescribed by the Chief Executive Officer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or other duly authorized executive. The Executive shall devote the Executive’s full working time and efforts to the business and affairs of the Company. Notwithstanding the foregoing, the Executive may serve on other boards of directors, with the approval of the Board of Directors of Parent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or engage in religious, charitable or other community activities as long as such services and activities do not interfere with the Executive’s performance of the Executive’s duties to the Company.</w:t>
      </w:r>
    </w:p>
    <w:p>
      <w:pPr>
        <w:spacing w:after="0" w:line="167" w:lineRule="exact"/>
        <w:rPr>
          <w:rFonts w:ascii="Times New Roman" w:cs="Times New Roman" w:eastAsia="Times New Roman" w:hAnsi="Times New Roman"/>
          <w:sz w:val="17"/>
          <w:szCs w:val="17"/>
          <w:color w:val="auto"/>
        </w:rPr>
      </w:pPr>
    </w:p>
    <w:p>
      <w:pPr>
        <w:ind w:right="20" w:firstLine="987"/>
        <w:spacing w:after="0" w:line="266" w:lineRule="auto"/>
        <w:tabs>
          <w:tab w:leader="none" w:pos="137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The Executive shall work remotely from the Executive’s home office, provided that the Executive may be required to travel regularly to the Company’s offices, currently located in Cambridge, Massachusetts, as well as elsewhere from time to time, consistent with the Company’s business needs.</w:t>
      </w:r>
    </w:p>
    <w:p>
      <w:pPr>
        <w:sectPr>
          <w:pgSz w:w="11900" w:h="16838" w:orient="portrait"/>
          <w:cols w:equalWidth="0" w:num="1">
            <w:col w:w="11020"/>
          </w:cols>
          <w:pgMar w:left="440" w:top="117" w:right="439" w:bottom="1440" w:gutter="0" w:footer="0" w:header="0"/>
        </w:sectPr>
      </w:pPr>
    </w:p>
    <w:bookmarkStart w:id="408" w:name="page409"/>
    <w:bookmarkEnd w:id="408"/>
    <w:p>
      <w:pPr>
        <w:ind w:left="764" w:hanging="324"/>
        <w:spacing w:after="0"/>
        <w:tabs>
          <w:tab w:leader="none" w:pos="76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375"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Executive’s initial base salary shall be paid at the rate of $420,000 per year. The Executive’s base salary shall be subject to periodic review by the Board or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base salary in effect at any given time is referred to herein as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shall be payable in a manner that is consistent with the Company’s usual payroll practices for its executives.</w:t>
      </w:r>
    </w:p>
    <w:p>
      <w:pPr>
        <w:spacing w:after="0" w:line="179"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385"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Executive shall be eligible to receive cash incentive compensation as determined by the Board or the Compensation Committee from time to time. The Executive’s initial target annual incentive bonus shall be 35 percent of the Executive’s Base Salary, with any incentive bonus for 2023 to be prorated based on the Executive’s days of employment with the Company during 2023. The Executive’s target annual incentive bonus may be reviewed by the Board or the Compensation Committee from time to time in its discretion. The target annual incentive bonus in effect at any given time is referred to herein as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actual amount of the Executive’s annual incentive bonus, if any, shall be determined in the sole discretion of the Board or the Compensation Committee, subject to the terms of any applicable incentive compensation plan that may be in effect from time to time. Except as otherwise provided herein, as may be provided by the Board or the Compensation Committee or as may otherwise be set forth in an applicable incentive compensation plan, the Executive must be employed by the Company on the date such incentive bonus is paid in order to earn or receive any annual incentive bonus.</w:t>
      </w:r>
    </w:p>
    <w:p>
      <w:pPr>
        <w:spacing w:after="0" w:line="188"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75"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executives.</w:t>
      </w:r>
    </w:p>
    <w:p>
      <w:pPr>
        <w:spacing w:after="0" w:line="175" w:lineRule="exact"/>
        <w:rPr>
          <w:rFonts w:ascii="Times New Roman" w:cs="Times New Roman" w:eastAsia="Times New Roman" w:hAnsi="Times New Roman"/>
          <w:sz w:val="18"/>
          <w:szCs w:val="18"/>
          <w:color w:val="auto"/>
        </w:rPr>
      </w:pPr>
    </w:p>
    <w:p>
      <w:pPr>
        <w:ind w:left="4" w:right="60" w:firstLine="987"/>
        <w:spacing w:after="0" w:line="270" w:lineRule="auto"/>
        <w:tabs>
          <w:tab w:leader="none" w:pos="1385" w:val="left"/>
        </w:tabs>
        <w:numPr>
          <w:ilvl w:val="2"/>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Benefits</w:t>
      </w:r>
      <w:r>
        <w:rPr>
          <w:rFonts w:ascii="Times New Roman" w:cs="Times New Roman" w:eastAsia="Times New Roman" w:hAnsi="Times New Roman"/>
          <w:sz w:val="17"/>
          <w:szCs w:val="17"/>
          <w:color w:val="auto"/>
        </w:rPr>
        <w:t>. The Executive shall be eligible to participate in or receive benefits under the Company’s employee benefit plans in effect from time to time, subject to the terms of such plans. During the Term, subject to the Executive working at the Company’s offices at least 10 days per calendar month or on an as needed basis mutually agreed to between the Executive and the Company, the Company will provide the Executive with reimbursement for (i) reasonable travel expenses associated with working at the Company’s offices, and (ii) following the Executive’s first six</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5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with the Company or establishment of more permanent housing, whichever comes first, expenses of up to $4,000 per month associated with an apartment in the Greater Boston, MA area, paid on a monthly basis (subsections (i) and (ii), together, being the “</w:t>
      </w:r>
      <w:r>
        <w:rPr>
          <w:rFonts w:ascii="Times New Roman" w:cs="Times New Roman" w:eastAsia="Times New Roman" w:hAnsi="Times New Roman"/>
          <w:sz w:val="18"/>
          <w:szCs w:val="18"/>
          <w:u w:val="single" w:color="auto"/>
          <w:color w:val="auto"/>
        </w:rPr>
        <w:t>Housing and Travel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The intended duration of the Housing and Travel Reimbursement is three (3) years from the commencement of the Executive’s employment, at which time the Company will review the Housing and Travel Reimbursement and may either extend or terminate it in its sole discretion. The Housing and Travel Reimbursement will not be grossed up to compensate for any state and local income taxes. Reimbursement for all travel and hotel expenses under this Section will be paid directly using Company’s corporate credit card.</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409" w:name="page410"/>
    <w:bookmarkEnd w:id="409"/>
    <w:p>
      <w:pPr>
        <w:ind w:left="4" w:firstLine="987"/>
        <w:spacing w:after="0" w:line="282" w:lineRule="auto"/>
        <w:tabs>
          <w:tab w:leader="none" w:pos="1375"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Paid Time Off</w:t>
      </w:r>
      <w:r>
        <w:rPr>
          <w:rFonts w:ascii="Times New Roman" w:cs="Times New Roman" w:eastAsia="Times New Roman" w:hAnsi="Times New Roman"/>
          <w:sz w:val="18"/>
          <w:szCs w:val="18"/>
          <w:color w:val="auto"/>
        </w:rPr>
        <w:t>. The Executive shall be entitled to take paid time off in accordance with the Company’s applicable paid time off policy for executives, as may be in effect from time to time.</w:t>
      </w:r>
    </w:p>
    <w:p>
      <w:pPr>
        <w:spacing w:after="0" w:line="161"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355"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the Executive shall continue to be governed by the terms and conditions of the Company’s applicable equity incentive plan(s) and the applicable award agreement(s) governing the terms of such equity awards (collectively,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and notwithstanding anything to the contrary in the Equity Documents, Section 6(a)(ii) of this Agreement shall apply in the event of a termination by the Company without Cause or by the Executive for Good Reason in either event within the Change in Control Period (as such terms are defined below).</w:t>
      </w:r>
    </w:p>
    <w:p>
      <w:pPr>
        <w:spacing w:after="0" w:line="183" w:lineRule="exact"/>
        <w:rPr>
          <w:rFonts w:ascii="Times New Roman" w:cs="Times New Roman" w:eastAsia="Times New Roman" w:hAnsi="Times New Roman"/>
          <w:sz w:val="18"/>
          <w:szCs w:val="18"/>
          <w:color w:val="auto"/>
        </w:rPr>
      </w:pPr>
    </w:p>
    <w:p>
      <w:pPr>
        <w:ind w:left="4" w:right="800" w:firstLine="436"/>
        <w:spacing w:after="0" w:line="282" w:lineRule="auto"/>
        <w:tabs>
          <w:tab w:leader="none" w:pos="759"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Executive’s employment hereunder may be terminated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death.</w:t>
      </w:r>
    </w:p>
    <w:p>
      <w:pPr>
        <w:spacing w:after="0" w:line="225" w:lineRule="exact"/>
        <w:rPr>
          <w:rFonts w:ascii="Times New Roman" w:cs="Times New Roman" w:eastAsia="Times New Roman" w:hAnsi="Times New Roman"/>
          <w:sz w:val="18"/>
          <w:szCs w:val="18"/>
          <w:color w:val="auto"/>
        </w:rPr>
      </w:pPr>
    </w:p>
    <w:p>
      <w:pPr>
        <w:ind w:left="4" w:right="120" w:firstLine="987"/>
        <w:spacing w:after="0" w:line="253" w:lineRule="auto"/>
        <w:tabs>
          <w:tab w:leader="none" w:pos="1385"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91" w:lineRule="exact"/>
        <w:rPr>
          <w:rFonts w:ascii="Times New Roman" w:cs="Times New Roman" w:eastAsia="Times New Roman" w:hAnsi="Times New Roman"/>
          <w:sz w:val="18"/>
          <w:szCs w:val="18"/>
          <w:color w:val="auto"/>
        </w:rPr>
      </w:pPr>
    </w:p>
    <w:p>
      <w:pPr>
        <w:ind w:left="4" w:right="660" w:firstLine="987"/>
        <w:spacing w:after="0" w:line="282" w:lineRule="auto"/>
        <w:tabs>
          <w:tab w:leader="none" w:pos="1375"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the Executive’s employment hereunder for Cause.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161" w:lineRule="exact"/>
        <w:rPr>
          <w:rFonts w:ascii="Times New Roman" w:cs="Times New Roman" w:eastAsia="Times New Roman" w:hAnsi="Times New Roman"/>
          <w:sz w:val="18"/>
          <w:szCs w:val="18"/>
          <w:color w:val="auto"/>
        </w:rPr>
      </w:pPr>
    </w:p>
    <w:p>
      <w:pPr>
        <w:ind w:left="4" w:right="300" w:firstLine="1428"/>
        <w:spacing w:after="0" w:line="276" w:lineRule="auto"/>
        <w:tabs>
          <w:tab w:leader="none" w:pos="1786" w:val="left"/>
        </w:tabs>
        <w:numPr>
          <w:ilvl w:val="3"/>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by the Executive constituting a material act of misconduct in connection with the performance of the Executive’s duties, including, without limitation, (A) willful failure or refusal to perform material responsibilities that have been requested by the Board or CEO;</w:t>
      </w:r>
    </w:p>
    <w:p>
      <w:pPr>
        <w:ind w:left="4" w:right="460" w:hanging="4"/>
        <w:spacing w:after="0" w:line="260" w:lineRule="auto"/>
        <w:tabs>
          <w:tab w:leader="none" w:pos="28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dishonesty to the Board or CEO with respect to any material matter; or (C)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10" w:name="page411"/>
    <w:bookmarkEnd w:id="410"/>
    <w:p>
      <w:pPr>
        <w:ind w:left="-40" w:right="420" w:firstLine="1428"/>
        <w:spacing w:after="0" w:line="282" w:lineRule="auto"/>
        <w:tabs>
          <w:tab w:leader="none" w:pos="1792"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by the Executive of acts satisfying the elements of (A) any felony or (B) a misdemeanor involving moral turpitude, deceit, dishonesty or fraud;</w:t>
      </w:r>
    </w:p>
    <w:p>
      <w:pPr>
        <w:spacing w:after="0" w:line="161" w:lineRule="exact"/>
        <w:rPr>
          <w:rFonts w:ascii="Times New Roman" w:cs="Times New Roman" w:eastAsia="Times New Roman" w:hAnsi="Times New Roman"/>
          <w:sz w:val="18"/>
          <w:szCs w:val="18"/>
          <w:color w:val="auto"/>
        </w:rPr>
      </w:pPr>
    </w:p>
    <w:p>
      <w:pPr>
        <w:ind w:left="-40" w:right="220" w:firstLine="1428"/>
        <w:spacing w:after="0" w:line="266" w:lineRule="auto"/>
        <w:tabs>
          <w:tab w:leader="none" w:pos="1842"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misconduct by the Executive, regardless of whether or not in the course of the Executive’s employment, that would reasonably be expected to result in material injury or reputational harm to the Company or any of its subsidiaries or affiliates if the Executive were to continue to be employed in the same position;</w:t>
      </w:r>
    </w:p>
    <w:p>
      <w:pPr>
        <w:spacing w:after="0" w:line="175" w:lineRule="exact"/>
        <w:rPr>
          <w:rFonts w:ascii="Times New Roman" w:cs="Times New Roman" w:eastAsia="Times New Roman" w:hAnsi="Times New Roman"/>
          <w:sz w:val="18"/>
          <w:szCs w:val="18"/>
          <w:color w:val="auto"/>
        </w:rPr>
      </w:pPr>
    </w:p>
    <w:p>
      <w:pPr>
        <w:ind w:left="-40" w:right="160" w:firstLine="1428"/>
        <w:spacing w:after="0" w:line="266" w:lineRule="auto"/>
        <w:tabs>
          <w:tab w:leader="none" w:pos="1832"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non-performance by the Executive of the Executive’s duties hereunder (other than by reason of the Executive’s physical or mental illness, incapacity or disability) which has continued for more than 30 days following written notice of such non-performance from the Board or CEO;</w:t>
      </w:r>
    </w:p>
    <w:p>
      <w:pPr>
        <w:spacing w:after="0" w:line="175" w:lineRule="exact"/>
        <w:rPr>
          <w:rFonts w:ascii="Times New Roman" w:cs="Times New Roman" w:eastAsia="Times New Roman" w:hAnsi="Times New Roman"/>
          <w:sz w:val="18"/>
          <w:szCs w:val="18"/>
          <w:color w:val="auto"/>
        </w:rPr>
      </w:pPr>
    </w:p>
    <w:p>
      <w:pPr>
        <w:ind w:left="-40" w:right="620" w:firstLine="1428"/>
        <w:spacing w:after="0" w:line="282" w:lineRule="auto"/>
        <w:tabs>
          <w:tab w:leader="none" w:pos="1782"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Executive of any of the provisions contained in Section 8 of this Agreement or the Restrictive Covenants Agreement (as defined below);</w:t>
      </w:r>
    </w:p>
    <w:p>
      <w:pPr>
        <w:spacing w:after="0" w:line="161" w:lineRule="exact"/>
        <w:rPr>
          <w:rFonts w:ascii="Times New Roman" w:cs="Times New Roman" w:eastAsia="Times New Roman" w:hAnsi="Times New Roman"/>
          <w:sz w:val="18"/>
          <w:szCs w:val="18"/>
          <w:color w:val="auto"/>
        </w:rPr>
      </w:pPr>
    </w:p>
    <w:p>
      <w:pPr>
        <w:ind w:left="1820" w:hanging="432"/>
        <w:spacing w:after="0"/>
        <w:tabs>
          <w:tab w:leader="none" w:pos="1820"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by the Executive of any of the Company’s written employment policies; or</w:t>
      </w:r>
    </w:p>
    <w:p>
      <w:pPr>
        <w:spacing w:after="0" w:line="225" w:lineRule="exact"/>
        <w:rPr>
          <w:rFonts w:ascii="Times New Roman" w:cs="Times New Roman" w:eastAsia="Times New Roman" w:hAnsi="Times New Roman"/>
          <w:sz w:val="18"/>
          <w:szCs w:val="18"/>
          <w:color w:val="auto"/>
        </w:rPr>
      </w:pPr>
    </w:p>
    <w:p>
      <w:pPr>
        <w:ind w:left="-40" w:firstLine="1428"/>
        <w:spacing w:after="0" w:line="261" w:lineRule="auto"/>
        <w:tabs>
          <w:tab w:leader="none" w:pos="1882" w:val="left"/>
        </w:tabs>
        <w:numPr>
          <w:ilvl w:val="2"/>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failure to reasonably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ind w:left="-40" w:right="400" w:firstLine="987"/>
        <w:spacing w:after="0" w:line="261" w:lineRule="auto"/>
        <w:tabs>
          <w:tab w:leader="none" w:pos="134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9" w:lineRule="exact"/>
        <w:rPr>
          <w:rFonts w:ascii="Times New Roman" w:cs="Times New Roman" w:eastAsia="Times New Roman" w:hAnsi="Times New Roman"/>
          <w:sz w:val="18"/>
          <w:szCs w:val="18"/>
          <w:color w:val="auto"/>
        </w:rPr>
      </w:pPr>
    </w:p>
    <w:p>
      <w:pPr>
        <w:jc w:val="both"/>
        <w:ind w:left="-40" w:right="260" w:firstLine="987"/>
        <w:spacing w:after="0" w:line="261" w:lineRule="auto"/>
        <w:tabs>
          <w:tab w:leader="none" w:pos="133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700" w:hanging="352"/>
        <w:spacing w:after="0"/>
        <w:tabs>
          <w:tab w:leader="none" w:pos="170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responsibilities, authority or duties;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70" w:right="499" w:bottom="1440" w:gutter="0" w:footer="0" w:header="0"/>
        </w:sectPr>
      </w:pPr>
    </w:p>
    <w:bookmarkStart w:id="411" w:name="page412"/>
    <w:bookmarkEnd w:id="411"/>
    <w:p>
      <w:pPr>
        <w:ind w:left="984" w:right="340" w:firstLine="408"/>
        <w:spacing w:after="0" w:line="282" w:lineRule="auto"/>
        <w:tabs>
          <w:tab w:leader="none" w:pos="17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diminution in the Executive’s Base Salary except for across-the-board salary reductions based on the Company’s financial performance similarly affecting all or substantially all senior management employees of the Company;</w:t>
      </w:r>
    </w:p>
    <w:p>
      <w:pPr>
        <w:spacing w:after="0" w:line="53" w:lineRule="exact"/>
        <w:rPr>
          <w:rFonts w:ascii="Times New Roman" w:cs="Times New Roman" w:eastAsia="Times New Roman" w:hAnsi="Times New Roman"/>
          <w:sz w:val="18"/>
          <w:szCs w:val="18"/>
          <w:color w:val="auto"/>
        </w:rPr>
      </w:pPr>
    </w:p>
    <w:p>
      <w:pPr>
        <w:ind w:left="984" w:right="80" w:firstLine="408"/>
        <w:spacing w:after="0" w:line="266" w:lineRule="auto"/>
        <w:tabs>
          <w:tab w:leader="none" w:pos="183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the Executive is regularly required to provide services to the Company (excluding any approved remote work arrangement or business travel), such that there is an increase of at least thirty (30) miles of driving distance to such location from the Executive’s principal residence as of such change; or</w:t>
      </w:r>
    </w:p>
    <w:p>
      <w:pPr>
        <w:spacing w:after="0" w:line="67" w:lineRule="exact"/>
        <w:rPr>
          <w:rFonts w:ascii="Times New Roman" w:cs="Times New Roman" w:eastAsia="Times New Roman" w:hAnsi="Times New Roman"/>
          <w:sz w:val="18"/>
          <w:szCs w:val="18"/>
          <w:color w:val="auto"/>
        </w:rPr>
      </w:pPr>
    </w:p>
    <w:p>
      <w:pPr>
        <w:ind w:left="1824" w:hanging="432"/>
        <w:spacing w:after="0"/>
        <w:tabs>
          <w:tab w:leader="none" w:pos="182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consists of the following steps:</w:t>
      </w:r>
    </w:p>
    <w:p>
      <w:pPr>
        <w:spacing w:after="0" w:line="117" w:lineRule="exact"/>
        <w:rPr>
          <w:sz w:val="20"/>
          <w:szCs w:val="20"/>
          <w:color w:val="auto"/>
        </w:rPr>
      </w:pPr>
    </w:p>
    <w:p>
      <w:pPr>
        <w:ind w:left="1744" w:hanging="352"/>
        <w:spacing w:after="0"/>
        <w:tabs>
          <w:tab w:leader="none" w:pos="174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reasonably determines in good faith that a Good Reason Condition has occurred;</w:t>
      </w:r>
    </w:p>
    <w:p>
      <w:pPr>
        <w:spacing w:after="0" w:line="117" w:lineRule="exact"/>
        <w:rPr>
          <w:rFonts w:ascii="Times New Roman" w:cs="Times New Roman" w:eastAsia="Times New Roman" w:hAnsi="Times New Roman"/>
          <w:sz w:val="18"/>
          <w:szCs w:val="18"/>
          <w:color w:val="auto"/>
        </w:rPr>
      </w:pPr>
    </w:p>
    <w:p>
      <w:pPr>
        <w:ind w:left="984" w:right="120" w:firstLine="408"/>
        <w:spacing w:after="0" w:line="282" w:lineRule="auto"/>
        <w:tabs>
          <w:tab w:leader="none" w:pos="178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notifies the Company in writing of the first occurrence of the Good Reason Condition within 90 days of the first occurrence of such condition;</w:t>
      </w:r>
    </w:p>
    <w:p>
      <w:pPr>
        <w:spacing w:after="0" w:line="53" w:lineRule="exact"/>
        <w:rPr>
          <w:rFonts w:ascii="Times New Roman" w:cs="Times New Roman" w:eastAsia="Times New Roman" w:hAnsi="Times New Roman"/>
          <w:sz w:val="18"/>
          <w:szCs w:val="18"/>
          <w:color w:val="auto"/>
        </w:rPr>
      </w:pPr>
    </w:p>
    <w:p>
      <w:pPr>
        <w:ind w:left="984" w:right="120" w:firstLine="408"/>
        <w:spacing w:after="0" w:line="282" w:lineRule="auto"/>
        <w:tabs>
          <w:tab w:leader="none" w:pos="183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cooperates in good faith with the Company’s efforts, for a period of not less than 30 days following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Good Reason Condition;</w:t>
      </w:r>
    </w:p>
    <w:p>
      <w:pPr>
        <w:spacing w:after="0" w:line="53" w:lineRule="exact"/>
        <w:rPr>
          <w:rFonts w:ascii="Times New Roman" w:cs="Times New Roman" w:eastAsia="Times New Roman" w:hAnsi="Times New Roman"/>
          <w:sz w:val="18"/>
          <w:szCs w:val="18"/>
          <w:color w:val="auto"/>
        </w:rPr>
      </w:pPr>
    </w:p>
    <w:p>
      <w:pPr>
        <w:ind w:left="1824" w:hanging="432"/>
        <w:spacing w:after="0"/>
        <w:tabs>
          <w:tab w:leader="none" w:pos="18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efforts, the Good Reason Condition continues to exist at the end of the Cure Period; and</w:t>
      </w:r>
    </w:p>
    <w:p>
      <w:pPr>
        <w:spacing w:after="0" w:line="117" w:lineRule="exact"/>
        <w:rPr>
          <w:rFonts w:ascii="Times New Roman" w:cs="Times New Roman" w:eastAsia="Times New Roman" w:hAnsi="Times New Roman"/>
          <w:sz w:val="18"/>
          <w:szCs w:val="18"/>
          <w:color w:val="auto"/>
        </w:rPr>
      </w:pPr>
    </w:p>
    <w:p>
      <w:pPr>
        <w:ind w:left="1784" w:hanging="392"/>
        <w:spacing w:after="0"/>
        <w:tabs>
          <w:tab w:leader="none" w:pos="178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terminates employment within 90 days after the end of the Cure Period.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764" w:hanging="324"/>
        <w:spacing w:after="0"/>
        <w:tabs>
          <w:tab w:leader="none" w:pos="76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related to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987"/>
        <w:spacing w:after="0" w:line="289" w:lineRule="auto"/>
        <w:tabs>
          <w:tab w:leader="none" w:pos="1375"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shall mean a notice which shall indicate the specific termination provision in this Agreement relied upon.</w:t>
      </w:r>
    </w:p>
    <w:p>
      <w:pPr>
        <w:spacing w:after="0" w:line="157" w:lineRule="exact"/>
        <w:rPr>
          <w:rFonts w:ascii="Times New Roman" w:cs="Times New Roman" w:eastAsia="Times New Roman" w:hAnsi="Times New Roman"/>
          <w:sz w:val="17"/>
          <w:szCs w:val="17"/>
          <w:color w:val="auto"/>
        </w:rPr>
      </w:pPr>
    </w:p>
    <w:p>
      <w:pPr>
        <w:ind w:left="1384" w:hanging="393"/>
        <w:spacing w:after="0"/>
        <w:tabs>
          <w:tab w:leader="none" w:pos="1384" w:val="left"/>
        </w:tabs>
        <w:numPr>
          <w:ilvl w:val="2"/>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the Executive’s employment is terminated by death, the date of death;</w:t>
      </w:r>
    </w:p>
    <w:p>
      <w:pPr>
        <w:spacing w:after="0" w:line="27" w:lineRule="exact"/>
        <w:rPr>
          <w:rFonts w:ascii="Times New Roman" w:cs="Times New Roman" w:eastAsia="Times New Roman" w:hAnsi="Times New Roman"/>
          <w:sz w:val="18"/>
          <w:szCs w:val="18"/>
          <w:color w:val="auto"/>
        </w:rPr>
      </w:pPr>
    </w:p>
    <w:p>
      <w:pPr>
        <w:ind w:left="4" w:right="20" w:hanging="4"/>
        <w:spacing w:after="0" w:line="265" w:lineRule="auto"/>
        <w:tabs>
          <w:tab w:leader="none" w:pos="269"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ind w:left="4" w:hanging="4"/>
        <w:spacing w:after="0" w:line="253" w:lineRule="auto"/>
        <w:tabs>
          <w:tab w:leader="none" w:pos="25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12" w:name="page413"/>
    <w:bookmarkEnd w:id="412"/>
    <w:p>
      <w:pPr>
        <w:ind w:firstLine="987"/>
        <w:spacing w:after="0" w:line="256" w:lineRule="auto"/>
        <w:tabs>
          <w:tab w:leader="none" w:pos="137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Accrued Obligations</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the Executive’s authorized representative or estate) (i) any Base Salary earned through the Date of Termination and, if applicable, any accrued but unused vacation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60" w:firstLine="987"/>
        <w:spacing w:after="0" w:line="261" w:lineRule="auto"/>
        <w:tabs>
          <w:tab w:leader="none" w:pos="1381"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79" w:lineRule="exact"/>
        <w:rPr>
          <w:rFonts w:ascii="Times New Roman" w:cs="Times New Roman" w:eastAsia="Times New Roman" w:hAnsi="Times New Roman"/>
          <w:sz w:val="18"/>
          <w:szCs w:val="18"/>
          <w:color w:val="auto"/>
        </w:rPr>
      </w:pPr>
    </w:p>
    <w:p>
      <w:pPr>
        <w:ind w:right="100" w:firstLine="436"/>
        <w:spacing w:after="0" w:line="253" w:lineRule="auto"/>
        <w:tabs>
          <w:tab w:leader="none" w:pos="75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18"/>
          <w:szCs w:val="18"/>
          <w:color w:val="auto"/>
        </w:rPr>
        <w:t>. If the Executive’s employment is terminated by the Company without Cause as provided in Section 3(d), or the Executive terminates employment for Good Reason as provided in Section 3(e), in each case outside of the Change in Control Period,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that shall not release the Executive’s rights under this Agreement, a reaffirmation of all of the Executive’s Continuing Obligations (as defined below), and, in the Company’s sole discretion, a one-year post-employment noncompetition agreement, and shall provide that if the Executive breaches any of the Continuing Obligations (as determined by the Board in good faith), all payments of the Severance Amount shall immediately cease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(ii) the Separation Agreement becoming irrevocable, all within 60 days after the Date of Termination (or such shorter period as set forth in the Separation Agreement), which shall include a seven (7) calendar day or seven (7) business day revocation period, as applicable:</w:t>
      </w:r>
    </w:p>
    <w:p>
      <w:pPr>
        <w:spacing w:after="0" w:line="194" w:lineRule="exact"/>
        <w:rPr>
          <w:rFonts w:ascii="Times New Roman" w:cs="Times New Roman" w:eastAsia="Times New Roman" w:hAnsi="Times New Roman"/>
          <w:sz w:val="18"/>
          <w:szCs w:val="18"/>
          <w:color w:val="auto"/>
        </w:rPr>
      </w:pPr>
    </w:p>
    <w:p>
      <w:pPr>
        <w:ind w:right="60" w:firstLine="987"/>
        <w:spacing w:after="0" w:line="261" w:lineRule="auto"/>
        <w:tabs>
          <w:tab w:leader="none" w:pos="137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 amount equal to the sum of (i) nine (9) months of the Executive’s Base Salary plus (ii) the Executive’s Target Bonus for the year in which the Date of Termination occurs, without regard to whether the metrics have been established or achieved for such year, with such bonus amount to be prorated to reflect the period during such year that the Executive was employed by the Company prior to the Date of Termination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13" w:name="page414"/>
    <w:bookmarkEnd w:id="413"/>
    <w:p>
      <w:pPr>
        <w:ind w:firstLine="987"/>
        <w:spacing w:after="0" w:line="253" w:lineRule="auto"/>
        <w:tabs>
          <w:tab w:leader="none" w:pos="138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if to the Executive, shall be subject to tax-related deductions and withholdings and paid on the Company’s regular payroll dates.</w:t>
      </w:r>
    </w:p>
    <w:p>
      <w:pPr>
        <w:spacing w:after="0" w:line="1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amounts payable under Section 5, to the extent taxable, shall be paid out in substantially equal installments in accordance with the Company’s payroll practice over nine (9) months commencing within 60 days after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shall begin to be paid in the second calendar year by the last day of such 60-day period;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9" w:lineRule="exact"/>
        <w:rPr>
          <w:sz w:val="20"/>
          <w:szCs w:val="20"/>
          <w:color w:val="auto"/>
        </w:rPr>
      </w:pPr>
    </w:p>
    <w:p>
      <w:pPr>
        <w:ind w:right="20" w:firstLine="436"/>
        <w:spacing w:after="0" w:line="254" w:lineRule="auto"/>
        <w:tabs>
          <w:tab w:leader="none" w:pos="75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within the Change in Control Period. These provisions shall terminate and be of no further force or effect after the Change in Control Period. For the avoidance of doubt, (i) in no event will the Executive be entitled to severance benefits under both Section 5 and Section 6 of this Agreement, and (ii)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414" w:name="page415"/>
    <w:bookmarkEnd w:id="414"/>
    <w:p>
      <w:pPr>
        <w:ind w:right="80" w:firstLine="987"/>
        <w:spacing w:after="0" w:line="256" w:lineRule="auto"/>
        <w:tabs>
          <w:tab w:leader="none" w:pos="137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Executive’s employment is terminated by the Company without Cause as provided in Section 3(d) or the Executive terminates employment for Good Reason as provided in Section 3(e) and in each case the Date of Termination occurs within the Change in Control Period, then, in addition to the Accrued Obligations, and subject to the signing of a general release of claims against the Company and all related persons and entities that shall not release the Executive’s rights under this Agreement and shall not include any affirmative obligations of the Executive to the Company beyond the Executive’s existing obligations to the Company immediately preceding the Date of Termination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by the Executive and the Release becoming fully effective, all within the time frame set forth in the Release but in no event more than 60 days after the Date of Termination:</w:t>
      </w:r>
    </w:p>
    <w:p>
      <w:pPr>
        <w:spacing w:after="0" w:line="79" w:lineRule="exact"/>
        <w:rPr>
          <w:rFonts w:ascii="Times New Roman" w:cs="Times New Roman" w:eastAsia="Times New Roman" w:hAnsi="Times New Roman"/>
          <w:sz w:val="18"/>
          <w:szCs w:val="18"/>
          <w:color w:val="auto"/>
        </w:rPr>
      </w:pPr>
    </w:p>
    <w:p>
      <w:pPr>
        <w:ind w:left="980" w:right="100" w:firstLine="408"/>
        <w:spacing w:after="0" w:line="261" w:lineRule="auto"/>
        <w:tabs>
          <w:tab w:leader="none" w:pos="173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 lump sum in cash in an amount equal to the sum of (A) 12 months of the Executive’s then-current Base Salary (or the Executive’s Base Salary in effect immediately prior to the Change in Control, if higher) plus (B) 100% of the Executive’s Target Bonus for the year in which the Date of Termination occurs, without regard to whether the metrics have been established or achieved for such year (the “</w:t>
      </w: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980" w:right="100" w:firstLine="408"/>
        <w:spacing w:after="0" w:line="253" w:lineRule="auto"/>
        <w:tabs>
          <w:tab w:leader="none" w:pos="178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option agreement or other stock-based award agreement, all stock options and other stock-based awards held by the Executive that are subject solely to time-based vesting (the “</w:t>
      </w:r>
      <w:r>
        <w:rPr>
          <w:rFonts w:ascii="Times New Roman" w:cs="Times New Roman" w:eastAsia="Times New Roman" w:hAnsi="Times New Roman"/>
          <w:sz w:val="18"/>
          <w:szCs w:val="18"/>
          <w:u w:val="single" w:color="auto"/>
          <w:color w:val="auto"/>
        </w:rPr>
        <w:t>Time-Based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shall immediately accelerate and become fully vested and exercisable or nonforfeitable as of the later of (i) the Date of Termination or the date of the Change in Control, as applicable or (ii) the effective date of the Release (the “</w:t>
      </w:r>
      <w:r>
        <w:rPr>
          <w:rFonts w:ascii="Times New Roman" w:cs="Times New Roman" w:eastAsia="Times New Roman" w:hAnsi="Times New Roman"/>
          <w:sz w:val="18"/>
          <w:szCs w:val="18"/>
          <w:u w:val="single" w:color="auto"/>
          <w:color w:val="auto"/>
        </w:rPr>
        <w:t>Accelerated Vesting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order to effectuate the accelerated vesting contemplated by this subsection, the unvested portion of the Executive’s Time-Based Equity Awards that would otherwise terminate or be forfeited on the Date of Termination will be delayed until the earlier of (A) the date on which both a Change in Control and the effective date of the Release has occurred (at which time acceleration will occur), or</w:t>
      </w:r>
    </w:p>
    <w:p>
      <w:pPr>
        <w:spacing w:after="0" w:line="2"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date that the Release can no longer become fully effective (at which time the unvested portion of the Executive’s Time-Based Equity Awards will terminate or be forfeited). Notwithstanding the foregoing, no additional vesting of the Time-Based Equity Awards shall occur during the period between the Date of Termination and the Accelerated Vesting Date; and</w:t>
      </w:r>
    </w:p>
    <w:p>
      <w:pPr>
        <w:spacing w:after="0" w:line="77" w:lineRule="exact"/>
        <w:rPr>
          <w:rFonts w:ascii="Times New Roman" w:cs="Times New Roman" w:eastAsia="Times New Roman" w:hAnsi="Times New Roman"/>
          <w:sz w:val="18"/>
          <w:szCs w:val="18"/>
          <w:color w:val="auto"/>
        </w:rPr>
      </w:pPr>
    </w:p>
    <w:p>
      <w:pPr>
        <w:ind w:left="980" w:right="100" w:firstLine="408"/>
        <w:spacing w:after="0" w:line="270" w:lineRule="auto"/>
        <w:tabs>
          <w:tab w:leader="none" w:pos="1831"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12 month anniversary of the Date of Termination;</w:t>
      </w:r>
    </w:p>
    <w:p>
      <w:pPr>
        <w:spacing w:after="0" w:line="2" w:lineRule="exact"/>
        <w:rPr>
          <w:rFonts w:ascii="Times New Roman" w:cs="Times New Roman" w:eastAsia="Times New Roman" w:hAnsi="Times New Roman"/>
          <w:sz w:val="17"/>
          <w:szCs w:val="17"/>
          <w:color w:val="auto"/>
        </w:rPr>
      </w:pPr>
    </w:p>
    <w:p>
      <w:pPr>
        <w:ind w:left="980"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if to the Executive, shall be subject to tax-related deductions and withholdings and paid on the Company’s regular payroll dates.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415" w:name="page416"/>
    <w:bookmarkEnd w:id="41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amounts payable under this Section 6(a), to the extent taxable, shall be paid or commence to be paid within 60 days after the Date of Termination or, if later, the Change in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80" w:lineRule="exact"/>
        <w:rPr>
          <w:sz w:val="20"/>
          <w:szCs w:val="20"/>
          <w:color w:val="auto"/>
        </w:rPr>
      </w:pPr>
    </w:p>
    <w:p>
      <w:pPr>
        <w:ind w:left="1380" w:hanging="393"/>
        <w:spacing w:after="0"/>
        <w:tabs>
          <w:tab w:leader="none" w:pos="138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2" w:lineRule="auto"/>
        <w:tabs>
          <w:tab w:leader="none" w:pos="1721"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w:t>
      </w:r>
    </w:p>
    <w:p>
      <w:pPr>
        <w:spacing w:after="0" w:line="5" w:lineRule="exact"/>
        <w:rPr>
          <w:rFonts w:ascii="Times New Roman" w:cs="Times New Roman" w:eastAsia="Times New Roman" w:hAnsi="Times New Roman"/>
          <w:sz w:val="18"/>
          <w:szCs w:val="18"/>
          <w:color w:val="auto"/>
        </w:rPr>
      </w:pPr>
    </w:p>
    <w:p>
      <w:pPr>
        <w:ind w:left="980"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cash payments subject to Section 409A of the Code; (3) equity-based payments and acceleration; and (4) non-cash forms of benefits;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all the foregoing Aggregate Payments all amounts or payments that are not subject to calculation under Treas.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 §1.280G-1, Q&amp;A-24(b) or (c) shall be reduced before any amounts that are subject to calculation under Treas. Reg. §1.280G-1, Q&amp;A-24(b) or (c).</w:t>
      </w:r>
    </w:p>
    <w:p>
      <w:pPr>
        <w:spacing w:after="0" w:line="80" w:lineRule="exact"/>
        <w:rPr>
          <w:rFonts w:ascii="Times New Roman" w:cs="Times New Roman" w:eastAsia="Times New Roman" w:hAnsi="Times New Roman"/>
          <w:sz w:val="18"/>
          <w:szCs w:val="18"/>
          <w:color w:val="auto"/>
        </w:rPr>
      </w:pPr>
    </w:p>
    <w:p>
      <w:pPr>
        <w:ind w:left="980" w:firstLine="408"/>
        <w:spacing w:after="0" w:line="256" w:lineRule="auto"/>
        <w:tabs>
          <w:tab w:leader="none" w:pos="1781"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w:t>
      </w:r>
      <w:r>
        <w:rPr>
          <w:rFonts w:ascii="Times New Roman" w:cs="Times New Roman" w:eastAsia="Times New Roman" w:hAnsi="Times New Roman"/>
          <w:sz w:val="18"/>
          <w:szCs w:val="18"/>
          <w:u w:val="single" w:color="auto"/>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9"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82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16" w:name="page417"/>
    <w:bookmarkEnd w:id="416"/>
    <w:p>
      <w:pPr>
        <w:ind w:left="1340" w:hanging="373"/>
        <w:spacing w:after="0"/>
        <w:tabs>
          <w:tab w:leader="none" w:pos="134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r>
        <w:rPr>
          <w:rFonts w:ascii="Times New Roman" w:cs="Times New Roman" w:eastAsia="Times New Roman" w:hAnsi="Times New Roman"/>
          <w:sz w:val="18"/>
          <w:szCs w:val="18"/>
          <w:color w:val="auto"/>
        </w:rPr>
        <w:t>. For purposes of this Agreement:</w:t>
      </w:r>
    </w:p>
    <w:p>
      <w:pPr>
        <w:spacing w:after="0" w:line="117" w:lineRule="exact"/>
        <w:rPr>
          <w:rFonts w:ascii="Times New Roman" w:cs="Times New Roman" w:eastAsia="Times New Roman" w:hAnsi="Times New Roman"/>
          <w:sz w:val="18"/>
          <w:szCs w:val="18"/>
          <w:color w:val="auto"/>
        </w:rPr>
      </w:pPr>
    </w:p>
    <w:p>
      <w:pPr>
        <w:ind w:left="960" w:right="20" w:firstLine="408"/>
        <w:spacing w:after="0" w:line="282" w:lineRule="auto"/>
        <w:tabs>
          <w:tab w:leader="none" w:pos="1711"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 “Sale Event” as defined in the Company’s 2023 Stock Option and Incentive Plan, as amended from time to time.</w:t>
      </w:r>
    </w:p>
    <w:p>
      <w:pPr>
        <w:spacing w:after="0" w:line="53" w:lineRule="exact"/>
        <w:rPr>
          <w:rFonts w:ascii="Times New Roman" w:cs="Times New Roman" w:eastAsia="Times New Roman" w:hAnsi="Times New Roman"/>
          <w:sz w:val="18"/>
          <w:szCs w:val="18"/>
          <w:color w:val="auto"/>
        </w:rPr>
      </w:pPr>
    </w:p>
    <w:p>
      <w:pPr>
        <w:jc w:val="both"/>
        <w:ind w:left="960" w:firstLine="408"/>
        <w:spacing w:after="0" w:line="282" w:lineRule="auto"/>
        <w:tabs>
          <w:tab w:leader="none" w:pos="1761"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shall mean the period beginning on the date that is three (3) months immediately before the date of the first event constituting a Change in Control and ending on the 12 month anniversary of the first event constituting a Change in Control.</w:t>
      </w:r>
    </w:p>
    <w:p>
      <w:pPr>
        <w:spacing w:after="0" w:line="161"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34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8" w:lineRule="exact"/>
        <w:rPr>
          <w:rFonts w:ascii="Times New Roman" w:cs="Times New Roman" w:eastAsia="Times New Roman" w:hAnsi="Times New Roman"/>
          <w:sz w:val="18"/>
          <w:szCs w:val="18"/>
          <w:color w:val="auto"/>
        </w:rPr>
      </w:pPr>
    </w:p>
    <w:p>
      <w:pPr>
        <w:ind w:left="-20" w:right="80" w:firstLine="987"/>
        <w:spacing w:after="0" w:line="256" w:lineRule="auto"/>
        <w:tabs>
          <w:tab w:leader="none" w:pos="135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left="-20" w:right="200" w:firstLine="987"/>
        <w:spacing w:after="0" w:line="261" w:lineRule="auto"/>
        <w:tabs>
          <w:tab w:leader="none" w:pos="1348"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417" w:name="page418"/>
    <w:bookmarkEnd w:id="417"/>
    <w:p>
      <w:pPr>
        <w:ind w:firstLine="987"/>
        <w:spacing w:after="0" w:line="256" w:lineRule="auto"/>
        <w:tabs>
          <w:tab w:leader="none" w:pos="137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36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56" w:lineRule="auto"/>
        <w:tabs>
          <w:tab w:leader="none" w:pos="137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As a condition of the Executive’s continued employment, the Executive shall enter into the Employee Proprietary Information and Inventions Assignment Agreement attached hereto as Exhibit A (the “</w:t>
      </w: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For the avoidance of doubt, all restrictive covenants obligations are supplemental to one another, and in the event of any conflict between restrictive covenants obligations, the most restrictive provision that is enforceable shall govern.</w:t>
      </w:r>
    </w:p>
    <w:p>
      <w:pPr>
        <w:spacing w:after="0" w:line="187" w:lineRule="exact"/>
        <w:rPr>
          <w:rFonts w:ascii="Times New Roman" w:cs="Times New Roman" w:eastAsia="Times New Roman" w:hAnsi="Times New Roman"/>
          <w:sz w:val="18"/>
          <w:szCs w:val="18"/>
          <w:color w:val="auto"/>
        </w:rPr>
      </w:pPr>
    </w:p>
    <w:p>
      <w:pPr>
        <w:ind w:right="140" w:firstLine="987"/>
        <w:spacing w:after="0" w:line="254" w:lineRule="auto"/>
        <w:tabs>
          <w:tab w:leader="none" w:pos="138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18" w:name="page419"/>
    <w:bookmarkEnd w:id="418"/>
    <w:p>
      <w:pPr>
        <w:ind w:left="-20" w:right="60" w:firstLine="987"/>
        <w:spacing w:after="0" w:line="253" w:lineRule="auto"/>
        <w:tabs>
          <w:tab w:leader="none" w:pos="1351"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194" w:lineRule="exact"/>
        <w:rPr>
          <w:rFonts w:ascii="Times New Roman" w:cs="Times New Roman" w:eastAsia="Times New Roman" w:hAnsi="Times New Roman"/>
          <w:sz w:val="18"/>
          <w:szCs w:val="18"/>
          <w:color w:val="auto"/>
        </w:rPr>
      </w:pPr>
    </w:p>
    <w:p>
      <w:pPr>
        <w:ind w:left="-20" w:right="120" w:firstLine="987"/>
        <w:spacing w:after="0" w:line="258" w:lineRule="auto"/>
        <w:tabs>
          <w:tab w:leader="none" w:pos="1361"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ind w:left="-20" w:right="60" w:firstLine="436"/>
        <w:spacing w:after="0" w:line="282" w:lineRule="auto"/>
        <w:tabs>
          <w:tab w:leader="none" w:pos="73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the Executive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shall remain in full force and effect.</w:t>
      </w:r>
    </w:p>
    <w:p>
      <w:pPr>
        <w:spacing w:after="0" w:line="161" w:lineRule="exact"/>
        <w:rPr>
          <w:rFonts w:ascii="Times New Roman" w:cs="Times New Roman" w:eastAsia="Times New Roman" w:hAnsi="Times New Roman"/>
          <w:sz w:val="18"/>
          <w:szCs w:val="18"/>
          <w:color w:val="auto"/>
        </w:rPr>
      </w:pPr>
    </w:p>
    <w:p>
      <w:pPr>
        <w:jc w:val="both"/>
        <w:ind w:left="-20" w:firstLine="436"/>
        <w:spacing w:after="0" w:line="261" w:lineRule="auto"/>
        <w:tabs>
          <w:tab w:leader="none" w:pos="82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81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83"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82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Agreement constitutes the entire agreement between the parties with respect to the subject matter hereof and supersedes all prior agreements between the parties concerning such subject matter, including the Prior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Equity Documents, the Continuing Obligations and the Indemnification Agreement remain in full force and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419" w:name="page420"/>
    <w:bookmarkEnd w:id="419"/>
    <w:p>
      <w:pPr>
        <w:ind w:right="20" w:firstLine="436"/>
        <w:spacing w:after="0" w:line="261" w:lineRule="auto"/>
        <w:tabs>
          <w:tab w:leader="none" w:pos="84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84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91" w:lineRule="exact"/>
        <w:rPr>
          <w:rFonts w:ascii="Times New Roman" w:cs="Times New Roman" w:eastAsia="Times New Roman" w:hAnsi="Times New Roman"/>
          <w:sz w:val="18"/>
          <w:szCs w:val="18"/>
          <w:color w:val="auto"/>
        </w:rPr>
      </w:pPr>
    </w:p>
    <w:p>
      <w:pPr>
        <w:jc w:val="both"/>
        <w:ind w:right="220" w:firstLine="436"/>
        <w:spacing w:after="0" w:line="261" w:lineRule="auto"/>
        <w:tabs>
          <w:tab w:leader="none" w:pos="84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84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right="400" w:firstLine="436"/>
        <w:spacing w:after="0" w:line="266" w:lineRule="auto"/>
        <w:tabs>
          <w:tab w:leader="none" w:pos="84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Times New Roman" w:cs="Times New Roman" w:eastAsia="Times New Roman" w:hAnsi="Times New Roman"/>
          <w:sz w:val="18"/>
          <w:szCs w:val="18"/>
          <w:color w:val="auto"/>
        </w:rPr>
      </w:pPr>
    </w:p>
    <w:p>
      <w:pPr>
        <w:ind w:right="200" w:firstLine="436"/>
        <w:spacing w:after="0" w:line="258" w:lineRule="auto"/>
        <w:tabs>
          <w:tab w:leader="none" w:pos="84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CEO. Notices, requests, demands and other communications provided for by this Agreement shall also be sufficient if sent by email to the Company email address of the Executive or, in the case of Company, the Company email address of the CEO, with confirmation of receipt.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20" w:name="page421"/>
    <w:bookmarkEnd w:id="420"/>
    <w:p>
      <w:pPr>
        <w:ind w:right="180" w:firstLine="436"/>
        <w:spacing w:after="0" w:line="282" w:lineRule="auto"/>
        <w:tabs>
          <w:tab w:leader="none" w:pos="8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w:t>
      </w:r>
      <w:r>
        <w:rPr>
          <w:rFonts w:ascii="Times New Roman" w:cs="Times New Roman" w:eastAsia="Times New Roman" w:hAnsi="Times New Roman"/>
          <w:sz w:val="18"/>
          <w:szCs w:val="18"/>
          <w:color w:val="auto"/>
        </w:rPr>
        <w:t>. This Agreement may be amended or modified only by a written instrument signed by the Executive and by a duly authorized representative of the Company.</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8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Notwithstanding anything to the contrary in this Agreement, all severance pay and benefits provided to the Executive pursuant to Section 5 or Section 6 of this Agreement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89" w:lineRule="exact"/>
        <w:rPr>
          <w:rFonts w:ascii="Times New Roman" w:cs="Times New Roman" w:eastAsia="Times New Roman" w:hAnsi="Times New Roman"/>
          <w:sz w:val="18"/>
          <w:szCs w:val="18"/>
          <w:color w:val="auto"/>
        </w:rPr>
      </w:pPr>
    </w:p>
    <w:p>
      <w:pPr>
        <w:ind w:right="340" w:firstLine="436"/>
        <w:spacing w:after="0" w:line="266" w:lineRule="auto"/>
        <w:tabs>
          <w:tab w:leader="none" w:pos="8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is a Delaware contract and shall be construed under and be governed in all respects by the laws of the State of Delaware, without giving effect to the conflict of laws principles thereof. With respect to any disputes concerning federal law, such disputes shall be determined in accordance with the law as it would be interpreted and applied by the United States Court of Appeals for the Third Circuit.</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84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21" w:name="page422"/>
    <w:bookmarkEnd w:id="421"/>
    <w:p>
      <w:pPr>
        <w:ind w:left="-60" w:firstLine="436"/>
        <w:spacing w:after="0" w:line="252" w:lineRule="auto"/>
        <w:tabs>
          <w:tab w:leader="none" w:pos="7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Clawback Acknowledgement</w:t>
      </w:r>
      <w:r>
        <w:rPr>
          <w:rFonts w:ascii="Times New Roman" w:cs="Times New Roman" w:eastAsia="Times New Roman" w:hAnsi="Times New Roman"/>
          <w:sz w:val="18"/>
          <w:szCs w:val="18"/>
          <w:color w:val="auto"/>
        </w:rPr>
        <w:t>. The Executive acknowledges that the Executive may become subject to the Korro Bio, Inc. Compensation Recovery Policy adopted pursuant to Rule 10D-1 promulgated under the Securities Exchange Act of 1934 and Nasdaq Rule 5608, or any successor rule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Executive understands that if the Executive is or becomes subject to the Clawback Policy, the Company and/or the Board shall be entitled to recover all Erroneously Awarded Compensation (as defined in the Clawback Policy) from the Executive pursuant to such means as the Company and/or the Board may elect. The Executive agrees that the Executive shall take all required action to enable such recovery. The Executive understands that such recovery may be sought and occur after the Executive’s employment or service with the Company terminates. The Executive further agrees that the Executive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Executive hereby irrevocably agrees to forego such indemnification. The Executive acknowledges and agrees that the Executive has received and has had an opportunity to review the Clawback Policy. Any action by the Company to recover Erroneously Awarded Compensation under the Clawback Policy from the Executive shall not, whether alone or in combination with any other action, event or condition, be deemed (i) a Good Reason Condition or serve as a basis for a claim of constructive termination under any benefits or compensation arrangement applicable to the Executive, or (ii) to constitute a breach of a contract or other arrangement to which the Executive is a party. This Section 23 is a material term of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500" w:top="270" w:right="49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on behalf of itself and its subsidiaries,</w:t>
      </w:r>
    </w:p>
    <w:p>
      <w:pPr>
        <w:spacing w:after="0" w:line="250"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Its:</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Steven Colletti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Steven Colletti, Ph.D.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 November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ectPr>
          <w:pgSz w:w="11900" w:h="16838" w:orient="portrait"/>
          <w:cols w:equalWidth="0" w:num="1">
            <w:col w:w="9579"/>
          </w:cols>
          <w:pgMar w:left="880" w:top="270" w:right="1440" w:bottom="1440" w:gutter="0" w:footer="0" w:header="0"/>
        </w:sectPr>
      </w:pPr>
    </w:p>
    <w:bookmarkStart w:id="423" w:name="page424"/>
    <w:bookmarkEnd w:id="42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ectPr>
          <w:pgSz w:w="11900" w:h="16838" w:orient="portrait"/>
          <w:cols w:equalWidth="0" w:num="1">
            <w:col w:w="9019"/>
          </w:cols>
          <w:pgMar w:left="1440" w:top="266" w:right="1440" w:bottom="1440" w:gutter="0" w:footer="0" w:header="0"/>
        </w:sectPr>
      </w:pPr>
    </w:p>
    <w:bookmarkStart w:id="424" w:name="page425"/>
    <w:bookmarkEnd w:id="424"/>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This Employment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between Korro Bio,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together with its subsidiaries, including Korro Bio Ops,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Todd Chappell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is effective as of the date it is fully executed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Except with respect to the Equity Documents (as defined below) and subject to Section 12, this Agreement supersedes in all respects all prior agreements between the Executive and the Company regarding the subject matter herein, including without limitation (i) the Employment Agreement between the Executive and the Company dated March 3, 2021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and (ii) any other offer letter, employment agreement or severance agreement.</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and the Executive desires to continue to be employed by the Company on the new terms and conditions contained herein.</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760" w:hanging="324"/>
        <w:spacing w:after="0"/>
        <w:tabs>
          <w:tab w:leader="none" w:pos="7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4" w:lineRule="auto"/>
        <w:tabs>
          <w:tab w:leader="none" w:pos="1371"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Korro Bio Ops, Inc. initially will be the Executive’s employer of record and will maintain and distribute employment-related records. In the interest of clarity, any intercompany transfer from Korro Bio Ops, Inc. to Parent or another entity within the definition of “Company” shall not be deemed a termination of the employment relationship unless otherwise specified at the time of the transfer. The Executive’s employment with the Company shall continue to be “at will,” meaning that the Executive’s employment may be terminated by the Company or the Executive at any time and for any reason subject to the terms of this Agreement. The duties of the Company set forth in this Agreement may be discharged by any entity within the definition of “Company” set forth above.</w:t>
      </w:r>
    </w:p>
    <w:p>
      <w:pPr>
        <w:spacing w:after="0" w:line="191" w:lineRule="exact"/>
        <w:rPr>
          <w:rFonts w:ascii="Times New Roman" w:cs="Times New Roman" w:eastAsia="Times New Roman" w:hAnsi="Times New Roman"/>
          <w:sz w:val="18"/>
          <w:szCs w:val="18"/>
          <w:color w:val="auto"/>
        </w:rPr>
      </w:pPr>
    </w:p>
    <w:p>
      <w:pPr>
        <w:ind w:right="60" w:firstLine="987"/>
        <w:spacing w:after="0" w:line="277" w:lineRule="auto"/>
        <w:tabs>
          <w:tab w:leader="none" w:pos="1381"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Position and Duties</w:t>
      </w:r>
      <w:r>
        <w:rPr>
          <w:rFonts w:ascii="Times New Roman" w:cs="Times New Roman" w:eastAsia="Times New Roman" w:hAnsi="Times New Roman"/>
          <w:sz w:val="17"/>
          <w:szCs w:val="17"/>
          <w:color w:val="auto"/>
        </w:rPr>
        <w:t>. The Executive shall serve as the Chief Operating Officer of the Company and shall have such powers and duties as may from time to time be prescribed by the Chief Executive Officer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or other duly authorized executive. The Executive shall devote the Executive’s full working time and efforts to the business and affairs of the Company. Notwithstanding the foregoing, the Executive may serve on other boards of directors, with the approval of the Board of Directors of Parent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or engage in religious, charitable or other community activities as long as such services and activities do not interfere with the Executive’s performance of the Executive’s duties to the Company.</w:t>
      </w:r>
    </w:p>
    <w:p>
      <w:pPr>
        <w:spacing w:after="0" w:line="167" w:lineRule="exact"/>
        <w:rPr>
          <w:rFonts w:ascii="Times New Roman" w:cs="Times New Roman" w:eastAsia="Times New Roman" w:hAnsi="Times New Roman"/>
          <w:sz w:val="17"/>
          <w:szCs w:val="17"/>
          <w:color w:val="auto"/>
        </w:rPr>
      </w:pPr>
    </w:p>
    <w:p>
      <w:pPr>
        <w:ind w:right="20" w:firstLine="987"/>
        <w:spacing w:after="0" w:line="266" w:lineRule="auto"/>
        <w:tabs>
          <w:tab w:leader="none" w:pos="1371"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The Executive shall work remotely from the Executive’s home office, provided that the Executive may be required to travel regularly to the Company’s offices, currently located in Cambridge, Massachusetts, as well as elsewhere from time to time, consistent with the Company’s business needs.</w:t>
      </w:r>
    </w:p>
    <w:p>
      <w:pPr>
        <w:sectPr>
          <w:pgSz w:w="11900" w:h="16838" w:orient="portrait"/>
          <w:cols w:equalWidth="0" w:num="1">
            <w:col w:w="11020"/>
          </w:cols>
          <w:pgMar w:left="440" w:top="117" w:right="439" w:bottom="1440" w:gutter="0" w:footer="0" w:header="0"/>
        </w:sectPr>
      </w:pPr>
    </w:p>
    <w:bookmarkStart w:id="425" w:name="page426"/>
    <w:bookmarkEnd w:id="425"/>
    <w:p>
      <w:pPr>
        <w:ind w:left="740" w:hanging="324"/>
        <w:spacing w:after="0"/>
        <w:tabs>
          <w:tab w:leader="none" w:pos="7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and Related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35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Executive’s initial base salary shall be paid at the rate of $390,000 per year. The Executive’s base salary shall be subject to periodic review by the Board or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base salary in effect at any given time is referred to herein as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Base Salary shall be payable in a manner that is consistent with the Company’s usual payroll practices for its executives.</w:t>
      </w:r>
    </w:p>
    <w:p>
      <w:pPr>
        <w:spacing w:after="0" w:line="179" w:lineRule="exact"/>
        <w:rPr>
          <w:rFonts w:ascii="Times New Roman" w:cs="Times New Roman" w:eastAsia="Times New Roman" w:hAnsi="Times New Roman"/>
          <w:sz w:val="18"/>
          <w:szCs w:val="18"/>
          <w:color w:val="auto"/>
        </w:rPr>
      </w:pPr>
    </w:p>
    <w:p>
      <w:pPr>
        <w:ind w:left="-20" w:right="60" w:firstLine="987"/>
        <w:spacing w:after="0" w:line="254" w:lineRule="auto"/>
        <w:tabs>
          <w:tab w:leader="none" w:pos="136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The Executive shall be eligible to receive cash incentive compensation as determined by the Board or the Compensation Committee from time to time. The Executive’s initial target annual incentive bonus shall be 35 percent of the Executive’s Base Salary. The Executive’s target annual incentive bonus may be reviewed by the Board or the Compensation Committee from time to time in its discretion. The target annual incentive bonus in effect at any given time is referred to herein as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The actual amount of the Executive’s annual incentive bonus, if any, shall be determined in the sole discretion of the Board or the Compensation Committee, subject to the terms of any applicable incentive compensation plan that may be in effect from time to time. Except as otherwise provided herein, as may be provided by the Board or the Compensation Committee or as may otherwise be set forth in an applicable incentive compensation plan, the Executive must be employed by the Company on the date such incentive bonus is paid in order to earn or receive any annual incentive bonus.</w:t>
      </w:r>
    </w:p>
    <w:p>
      <w:pPr>
        <w:spacing w:after="0" w:line="191"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35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executives.</w:t>
      </w:r>
    </w:p>
    <w:p>
      <w:pPr>
        <w:spacing w:after="0" w:line="175" w:lineRule="exact"/>
        <w:rPr>
          <w:rFonts w:ascii="Times New Roman" w:cs="Times New Roman" w:eastAsia="Times New Roman" w:hAnsi="Times New Roman"/>
          <w:sz w:val="18"/>
          <w:szCs w:val="18"/>
          <w:color w:val="auto"/>
        </w:rPr>
      </w:pPr>
    </w:p>
    <w:p>
      <w:pPr>
        <w:ind w:left="-20" w:right="220" w:firstLine="987"/>
        <w:spacing w:after="0" w:line="282" w:lineRule="auto"/>
        <w:tabs>
          <w:tab w:leader="none" w:pos="136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The Executive shall be eligible to participate in or receive benefits under the Company’s employee benefit plans in effect from time to time, subject to the terms of such plans.</w:t>
      </w:r>
    </w:p>
    <w:p>
      <w:pPr>
        <w:spacing w:after="0" w:line="161" w:lineRule="exact"/>
        <w:rPr>
          <w:rFonts w:ascii="Times New Roman" w:cs="Times New Roman" w:eastAsia="Times New Roman" w:hAnsi="Times New Roman"/>
          <w:sz w:val="18"/>
          <w:szCs w:val="18"/>
          <w:color w:val="auto"/>
        </w:rPr>
      </w:pPr>
    </w:p>
    <w:p>
      <w:pPr>
        <w:ind w:left="-20" w:firstLine="987"/>
        <w:spacing w:after="0" w:line="282" w:lineRule="auto"/>
        <w:tabs>
          <w:tab w:leader="none" w:pos="135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The Executive shall be entitled to take paid time off in accordance with the Company’s applicable paid time off policy for executives, as may be in effect from time to time.</w:t>
      </w:r>
    </w:p>
    <w:p>
      <w:pPr>
        <w:spacing w:after="0" w:line="161" w:lineRule="exact"/>
        <w:rPr>
          <w:rFonts w:ascii="Times New Roman" w:cs="Times New Roman" w:eastAsia="Times New Roman" w:hAnsi="Times New Roman"/>
          <w:sz w:val="18"/>
          <w:szCs w:val="18"/>
          <w:color w:val="auto"/>
        </w:rPr>
      </w:pPr>
    </w:p>
    <w:p>
      <w:pPr>
        <w:ind w:left="-20" w:right="100" w:firstLine="987"/>
        <w:spacing w:after="0" w:line="258" w:lineRule="auto"/>
        <w:tabs>
          <w:tab w:leader="none" w:pos="133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The equity awards held by the Executive shall continue to be governed by the terms and conditions of the Company’s applicable equity incentive plan(s) and the applicable award agreement(s) governing the terms of such equity awards (collectively,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and notwithstanding anything to the contrary in the Equity Documents, Section 6(a)(ii) of this Agreement shall apply in the event of a termination by the Company without Cause or by the Executive for Good Reason in either event within the Change in Control Period (as such terms are defined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426" w:name="page427"/>
    <w:bookmarkEnd w:id="426"/>
    <w:p>
      <w:pPr>
        <w:ind w:left="4" w:right="680" w:firstLine="436"/>
        <w:spacing w:after="0" w:line="282" w:lineRule="auto"/>
        <w:tabs>
          <w:tab w:leader="none" w:pos="759"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Executive’s employment hereunder may be terminated without any breach of this Agreement under the following circumstances:</w:t>
      </w:r>
    </w:p>
    <w:p>
      <w:pPr>
        <w:spacing w:after="0" w:line="161"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death.</w:t>
      </w:r>
    </w:p>
    <w:p>
      <w:pPr>
        <w:spacing w:after="0" w:line="225" w:lineRule="exact"/>
        <w:rPr>
          <w:rFonts w:ascii="Times New Roman" w:cs="Times New Roman" w:eastAsia="Times New Roman" w:hAnsi="Times New Roman"/>
          <w:sz w:val="18"/>
          <w:szCs w:val="18"/>
          <w:color w:val="auto"/>
        </w:rPr>
      </w:pPr>
    </w:p>
    <w:p>
      <w:pPr>
        <w:ind w:left="4" w:firstLine="987"/>
        <w:spacing w:after="0" w:line="253" w:lineRule="auto"/>
        <w:tabs>
          <w:tab w:leader="none" w:pos="1385"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191" w:lineRule="exact"/>
        <w:rPr>
          <w:rFonts w:ascii="Times New Roman" w:cs="Times New Roman" w:eastAsia="Times New Roman" w:hAnsi="Times New Roman"/>
          <w:sz w:val="18"/>
          <w:szCs w:val="18"/>
          <w:color w:val="auto"/>
        </w:rPr>
      </w:pPr>
    </w:p>
    <w:p>
      <w:pPr>
        <w:ind w:left="4" w:right="540" w:firstLine="987"/>
        <w:spacing w:after="0" w:line="282" w:lineRule="auto"/>
        <w:tabs>
          <w:tab w:leader="none" w:pos="1375"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the Executive’s employment hereunder for Cause. 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161" w:lineRule="exact"/>
        <w:rPr>
          <w:rFonts w:ascii="Times New Roman" w:cs="Times New Roman" w:eastAsia="Times New Roman" w:hAnsi="Times New Roman"/>
          <w:sz w:val="18"/>
          <w:szCs w:val="18"/>
          <w:color w:val="auto"/>
        </w:rPr>
      </w:pPr>
    </w:p>
    <w:p>
      <w:pPr>
        <w:ind w:left="4" w:right="180" w:firstLine="1428"/>
        <w:spacing w:after="0" w:line="276" w:lineRule="auto"/>
        <w:tabs>
          <w:tab w:leader="none" w:pos="1786" w:val="left"/>
        </w:tabs>
        <w:numPr>
          <w:ilvl w:val="3"/>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by the Executive constituting a material act of misconduct in connection with the performance of the Executive’s duties, including, without limitation, (A) willful failure or refusal to perform material responsibilities that have been requested by the Board or CEO;</w:t>
      </w:r>
    </w:p>
    <w:p>
      <w:pPr>
        <w:ind w:left="4" w:right="340" w:hanging="4"/>
        <w:spacing w:after="0" w:line="260" w:lineRule="auto"/>
        <w:tabs>
          <w:tab w:leader="none" w:pos="28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dishonesty to the Board or CEO with respect to any material matter; or (C) misappropriation of funds or property of the Company or any of its subsidiaries or affiliates other than the occasional, customary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use of Company property for personal purposes;</w:t>
      </w:r>
    </w:p>
    <w:p>
      <w:pPr>
        <w:spacing w:after="0" w:line="181" w:lineRule="exact"/>
        <w:rPr>
          <w:rFonts w:ascii="Times New Roman" w:cs="Times New Roman" w:eastAsia="Times New Roman" w:hAnsi="Times New Roman"/>
          <w:sz w:val="18"/>
          <w:szCs w:val="18"/>
          <w:color w:val="auto"/>
        </w:rPr>
      </w:pPr>
    </w:p>
    <w:p>
      <w:pPr>
        <w:ind w:left="4" w:right="340" w:firstLine="1428"/>
        <w:spacing w:after="0" w:line="282" w:lineRule="auto"/>
        <w:tabs>
          <w:tab w:leader="none" w:pos="1836" w:val="left"/>
        </w:tabs>
        <w:numPr>
          <w:ilvl w:val="3"/>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by the Executive of acts satisfying the elements of (A) any felony or (B) a misdemeanor involving moral turpitude, deceit, dishonesty or fraud;</w:t>
      </w:r>
    </w:p>
    <w:p>
      <w:pPr>
        <w:spacing w:after="0" w:line="161" w:lineRule="exact"/>
        <w:rPr>
          <w:rFonts w:ascii="Times New Roman" w:cs="Times New Roman" w:eastAsia="Times New Roman" w:hAnsi="Times New Roman"/>
          <w:sz w:val="18"/>
          <w:szCs w:val="18"/>
          <w:color w:val="auto"/>
        </w:rPr>
      </w:pPr>
    </w:p>
    <w:p>
      <w:pPr>
        <w:ind w:left="4" w:right="140" w:firstLine="1428"/>
        <w:spacing w:after="0" w:line="266" w:lineRule="auto"/>
        <w:tabs>
          <w:tab w:leader="none" w:pos="1886" w:val="left"/>
        </w:tabs>
        <w:numPr>
          <w:ilvl w:val="3"/>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misconduct by the Executive, regardless of whether or not in the course of the Executive’s employment, that would reasonably be expected to result in material injury or reputational harm to the Company or any of its subsidiaries or affiliates if the Executive were to continue to be employed in the same position;</w:t>
      </w:r>
    </w:p>
    <w:p>
      <w:pPr>
        <w:spacing w:after="0" w:line="175" w:lineRule="exact"/>
        <w:rPr>
          <w:rFonts w:ascii="Times New Roman" w:cs="Times New Roman" w:eastAsia="Times New Roman" w:hAnsi="Times New Roman"/>
          <w:sz w:val="18"/>
          <w:szCs w:val="18"/>
          <w:color w:val="auto"/>
        </w:rPr>
      </w:pPr>
    </w:p>
    <w:p>
      <w:pPr>
        <w:ind w:left="4" w:right="80" w:firstLine="1428"/>
        <w:spacing w:after="0" w:line="266" w:lineRule="auto"/>
        <w:tabs>
          <w:tab w:leader="none" w:pos="1876" w:val="left"/>
        </w:tabs>
        <w:numPr>
          <w:ilvl w:val="3"/>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non-performance by the Executive of the Executive’s duties hereunder (other than by reason of the Executive’s physical or mental illness, incapacity or disability) which has continued for more than 30 days following written notice of such non-performance from the Board or CEO;</w:t>
      </w:r>
    </w:p>
    <w:p>
      <w:pPr>
        <w:spacing w:after="0" w:line="108"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4"/>
          </w:cols>
          <w:pgMar w:left="436" w:top="270" w:right="579" w:bottom="1440" w:gutter="0" w:footer="0" w:header="0"/>
        </w:sectPr>
      </w:pPr>
    </w:p>
    <w:bookmarkStart w:id="427" w:name="page428"/>
    <w:bookmarkEnd w:id="427"/>
    <w:p>
      <w:pPr>
        <w:ind w:right="620" w:firstLine="1428"/>
        <w:spacing w:after="0" w:line="282" w:lineRule="auto"/>
        <w:tabs>
          <w:tab w:leader="none" w:pos="1822"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material breach by the Executive of any of the provisions contained in Section 8 of this Agreement or the Restrictive Covenants Agreement (as defined below);</w:t>
      </w:r>
    </w:p>
    <w:p>
      <w:pPr>
        <w:spacing w:after="0" w:line="161"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violation by the Executive of any of the Company’s written employment policies; or</w:t>
      </w:r>
    </w:p>
    <w:p>
      <w:pPr>
        <w:spacing w:after="0" w:line="225" w:lineRule="exact"/>
        <w:rPr>
          <w:rFonts w:ascii="Times New Roman" w:cs="Times New Roman" w:eastAsia="Times New Roman" w:hAnsi="Times New Roman"/>
          <w:sz w:val="18"/>
          <w:szCs w:val="18"/>
          <w:color w:val="auto"/>
        </w:rPr>
      </w:pPr>
    </w:p>
    <w:p>
      <w:pPr>
        <w:ind w:firstLine="1428"/>
        <w:spacing w:after="0" w:line="261" w:lineRule="auto"/>
        <w:tabs>
          <w:tab w:leader="none" w:pos="1922" w:val="left"/>
        </w:tabs>
        <w:numPr>
          <w:ilvl w:val="2"/>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failure to reasonably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9" w:lineRule="exact"/>
        <w:rPr>
          <w:rFonts w:ascii="Times New Roman" w:cs="Times New Roman" w:eastAsia="Times New Roman" w:hAnsi="Times New Roman"/>
          <w:sz w:val="18"/>
          <w:szCs w:val="18"/>
          <w:color w:val="auto"/>
        </w:rPr>
      </w:pPr>
    </w:p>
    <w:p>
      <w:pPr>
        <w:ind w:right="400" w:firstLine="987"/>
        <w:spacing w:after="0" w:line="261" w:lineRule="auto"/>
        <w:tabs>
          <w:tab w:leader="none" w:pos="138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without Cause</w:t>
      </w:r>
      <w:r>
        <w:rPr>
          <w:rFonts w:ascii="Times New Roman" w:cs="Times New Roman" w:eastAsia="Times New Roman" w:hAnsi="Times New Roman"/>
          <w:sz w:val="18"/>
          <w:szCs w:val="18"/>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9" w:lineRule="exact"/>
        <w:rPr>
          <w:rFonts w:ascii="Times New Roman" w:cs="Times New Roman" w:eastAsia="Times New Roman" w:hAnsi="Times New Roman"/>
          <w:sz w:val="18"/>
          <w:szCs w:val="18"/>
          <w:color w:val="auto"/>
        </w:rPr>
      </w:pPr>
    </w:p>
    <w:p>
      <w:pPr>
        <w:jc w:val="both"/>
        <w:ind w:right="260" w:firstLine="987"/>
        <w:spacing w:after="0" w:line="261" w:lineRule="auto"/>
        <w:tabs>
          <w:tab w:leader="none" w:pos="137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responsibilities, authority or duties;</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781"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Base Salary except for across-the-board salary reductions based on the Company’s financial performance similarly affecting all or substantially all senior management employees of the Company;</w:t>
      </w:r>
    </w:p>
    <w:p>
      <w:pPr>
        <w:spacing w:after="0" w:line="53" w:lineRule="exact"/>
        <w:rPr>
          <w:rFonts w:ascii="Times New Roman" w:cs="Times New Roman" w:eastAsia="Times New Roman" w:hAnsi="Times New Roman"/>
          <w:sz w:val="18"/>
          <w:szCs w:val="18"/>
          <w:color w:val="auto"/>
        </w:rPr>
      </w:pPr>
    </w:p>
    <w:p>
      <w:pPr>
        <w:ind w:left="980" w:right="40" w:firstLine="408"/>
        <w:spacing w:after="0" w:line="266" w:lineRule="auto"/>
        <w:tabs>
          <w:tab w:leader="none" w:pos="1831"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the Executive is regularly required to provide services to the Company (excluding any approved remote work arrangement or business travel), such that there is an increase of at least thirty (30) miles of driving distance to such location from the Executive’s principal residence as of such change; or</w:t>
      </w:r>
    </w:p>
    <w:p>
      <w:pPr>
        <w:spacing w:after="0" w:line="67" w:lineRule="exact"/>
        <w:rPr>
          <w:rFonts w:ascii="Times New Roman" w:cs="Times New Roman" w:eastAsia="Times New Roman" w:hAnsi="Times New Roman"/>
          <w:sz w:val="18"/>
          <w:szCs w:val="18"/>
          <w:color w:val="auto"/>
        </w:rPr>
      </w:pPr>
    </w:p>
    <w:p>
      <w:pPr>
        <w:ind w:left="1820" w:hanging="432"/>
        <w:spacing w:after="0"/>
        <w:tabs>
          <w:tab w:leader="none" w:pos="182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consists of the following steps:</w:t>
      </w:r>
    </w:p>
    <w:p>
      <w:pPr>
        <w:spacing w:after="0" w:line="117" w:lineRule="exact"/>
        <w:rPr>
          <w:sz w:val="20"/>
          <w:szCs w:val="20"/>
          <w:color w:val="auto"/>
        </w:rPr>
      </w:pPr>
    </w:p>
    <w:p>
      <w:pPr>
        <w:ind w:left="5460" w:right="2380" w:hanging="4072"/>
        <w:spacing w:after="0" w:line="454" w:lineRule="auto"/>
        <w:tabs>
          <w:tab w:leader="none" w:pos="173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reasonably determines in good faith that a Good Reason Condition has occurred; 4</w:t>
      </w:r>
    </w:p>
    <w:p>
      <w:pPr>
        <w:sectPr>
          <w:pgSz w:w="11900" w:h="16838" w:orient="portrait"/>
          <w:cols w:equalWidth="0" w:num="1">
            <w:col w:w="10960"/>
          </w:cols>
          <w:pgMar w:left="440" w:top="270" w:right="499" w:bottom="1440" w:gutter="0" w:footer="0" w:header="0"/>
        </w:sectPr>
      </w:pPr>
    </w:p>
    <w:bookmarkStart w:id="428" w:name="page429"/>
    <w:bookmarkEnd w:id="428"/>
    <w:p>
      <w:pPr>
        <w:ind w:left="984" w:right="120" w:firstLine="408"/>
        <w:spacing w:after="0" w:line="282" w:lineRule="auto"/>
        <w:tabs>
          <w:tab w:leader="none" w:pos="178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 notifies the Company in writing of the first occurrence of the Good Reason Condition within 90 days of the first occurrence of such condition;</w:t>
      </w:r>
    </w:p>
    <w:p>
      <w:pPr>
        <w:spacing w:after="0" w:line="53" w:lineRule="exact"/>
        <w:rPr>
          <w:rFonts w:ascii="Times New Roman" w:cs="Times New Roman" w:eastAsia="Times New Roman" w:hAnsi="Times New Roman"/>
          <w:sz w:val="18"/>
          <w:szCs w:val="18"/>
          <w:color w:val="auto"/>
        </w:rPr>
      </w:pPr>
    </w:p>
    <w:p>
      <w:pPr>
        <w:ind w:left="984" w:right="120" w:firstLine="408"/>
        <w:spacing w:after="0" w:line="282" w:lineRule="auto"/>
        <w:tabs>
          <w:tab w:leader="none" w:pos="183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cooperates in good faith with the Company’s efforts, for a period of not less than 30 days following such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to remedy the Good Reason Condition;</w:t>
      </w:r>
    </w:p>
    <w:p>
      <w:pPr>
        <w:spacing w:after="0" w:line="53" w:lineRule="exact"/>
        <w:rPr>
          <w:rFonts w:ascii="Times New Roman" w:cs="Times New Roman" w:eastAsia="Times New Roman" w:hAnsi="Times New Roman"/>
          <w:sz w:val="18"/>
          <w:szCs w:val="18"/>
          <w:color w:val="auto"/>
        </w:rPr>
      </w:pPr>
    </w:p>
    <w:p>
      <w:pPr>
        <w:ind w:left="1824" w:hanging="432"/>
        <w:spacing w:after="0"/>
        <w:tabs>
          <w:tab w:leader="none" w:pos="182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efforts, the Good Reason Condition continues to exist at the end of the Cure Period; and</w:t>
      </w:r>
    </w:p>
    <w:p>
      <w:pPr>
        <w:spacing w:after="0" w:line="117" w:lineRule="exact"/>
        <w:rPr>
          <w:rFonts w:ascii="Times New Roman" w:cs="Times New Roman" w:eastAsia="Times New Roman" w:hAnsi="Times New Roman"/>
          <w:sz w:val="18"/>
          <w:szCs w:val="18"/>
          <w:color w:val="auto"/>
        </w:rPr>
      </w:pPr>
    </w:p>
    <w:p>
      <w:pPr>
        <w:ind w:left="1784" w:hanging="392"/>
        <w:spacing w:after="0"/>
        <w:tabs>
          <w:tab w:leader="none" w:pos="178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terminates employment within 90 days after the end of the Cure Period.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764" w:hanging="324"/>
        <w:spacing w:after="0"/>
        <w:tabs>
          <w:tab w:leader="none" w:pos="764"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related to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987"/>
        <w:spacing w:after="0" w:line="289" w:lineRule="auto"/>
        <w:tabs>
          <w:tab w:leader="none" w:pos="1375" w:val="left"/>
        </w:tabs>
        <w:numPr>
          <w:ilvl w:val="2"/>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shall mean a notice which shall indicate the specific termination provision in this Agreement relied upon.</w:t>
      </w:r>
    </w:p>
    <w:p>
      <w:pPr>
        <w:spacing w:after="0" w:line="157" w:lineRule="exact"/>
        <w:rPr>
          <w:rFonts w:ascii="Times New Roman" w:cs="Times New Roman" w:eastAsia="Times New Roman" w:hAnsi="Times New Roman"/>
          <w:sz w:val="17"/>
          <w:szCs w:val="17"/>
          <w:color w:val="auto"/>
        </w:rPr>
      </w:pPr>
    </w:p>
    <w:p>
      <w:pPr>
        <w:ind w:left="1384" w:hanging="393"/>
        <w:spacing w:after="0"/>
        <w:tabs>
          <w:tab w:leader="none" w:pos="1384" w:val="left"/>
        </w:tabs>
        <w:numPr>
          <w:ilvl w:val="2"/>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shall mean: (i) if the Executive’s employment is terminated by death, the date of death;</w:t>
      </w:r>
    </w:p>
    <w:p>
      <w:pPr>
        <w:spacing w:after="0" w:line="27" w:lineRule="exact"/>
        <w:rPr>
          <w:rFonts w:ascii="Times New Roman" w:cs="Times New Roman" w:eastAsia="Times New Roman" w:hAnsi="Times New Roman"/>
          <w:sz w:val="18"/>
          <w:szCs w:val="18"/>
          <w:color w:val="auto"/>
        </w:rPr>
      </w:pPr>
    </w:p>
    <w:p>
      <w:pPr>
        <w:ind w:left="4" w:right="20" w:hanging="4"/>
        <w:spacing w:after="0" w:line="265" w:lineRule="auto"/>
        <w:tabs>
          <w:tab w:leader="none" w:pos="269"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w:t>
      </w:r>
    </w:p>
    <w:p>
      <w:pPr>
        <w:ind w:left="4" w:hanging="4"/>
        <w:spacing w:after="0" w:line="253" w:lineRule="auto"/>
        <w:tabs>
          <w:tab w:leader="none" w:pos="25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8" w:lineRule="exact"/>
        <w:rPr>
          <w:rFonts w:ascii="Times New Roman" w:cs="Times New Roman" w:eastAsia="Times New Roman" w:hAnsi="Times New Roman"/>
          <w:sz w:val="18"/>
          <w:szCs w:val="18"/>
          <w:color w:val="auto"/>
        </w:rPr>
      </w:pPr>
    </w:p>
    <w:p>
      <w:pPr>
        <w:ind w:left="4" w:firstLine="987"/>
        <w:spacing w:after="0" w:line="256" w:lineRule="auto"/>
        <w:tabs>
          <w:tab w:leader="none" w:pos="1375"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the Executive’s authorized representative or estate) (i) any Base Salary earned through the Date of Termination and, if applicable, any accrued but unused vacation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29" w:name="page430"/>
    <w:bookmarkEnd w:id="429"/>
    <w:p>
      <w:pPr>
        <w:ind w:left="-20" w:right="240" w:firstLine="987"/>
        <w:spacing w:after="0" w:line="261" w:lineRule="auto"/>
        <w:tabs>
          <w:tab w:leader="none" w:pos="136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of All Other Positions</w:t>
      </w:r>
      <w:r>
        <w:rPr>
          <w:rFonts w:ascii="Times New Roman" w:cs="Times New Roman" w:eastAsia="Times New Roman" w:hAnsi="Times New Roman"/>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79" w:lineRule="exact"/>
        <w:rPr>
          <w:rFonts w:ascii="Times New Roman" w:cs="Times New Roman" w:eastAsia="Times New Roman" w:hAnsi="Times New Roman"/>
          <w:sz w:val="18"/>
          <w:szCs w:val="18"/>
          <w:color w:val="auto"/>
        </w:rPr>
      </w:pPr>
    </w:p>
    <w:p>
      <w:pPr>
        <w:ind w:left="-20" w:right="80" w:firstLine="436"/>
        <w:spacing w:after="0" w:line="253" w:lineRule="auto"/>
        <w:tabs>
          <w:tab w:leader="none" w:pos="73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Outside the Change in Control Period</w:t>
      </w:r>
      <w:r>
        <w:rPr>
          <w:rFonts w:ascii="Times New Roman" w:cs="Times New Roman" w:eastAsia="Times New Roman" w:hAnsi="Times New Roman"/>
          <w:sz w:val="18"/>
          <w:szCs w:val="18"/>
          <w:color w:val="auto"/>
        </w:rPr>
        <w:t>. If the Executive’s employment is terminated by the Company without Cause as provided in Section 3(d), or the Executive terminates employment for Good Reason as provided in Section 3(e), in each case outside of the Change in Control Period,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that shall not release the Executive’s rights under this Agreement, a reaffirmation of all of the Executive’s Continuing Obligations (as defined below), and, in the Company’s sole discretion, a one-year post-employment noncompetition agreement, and shall provide that if the Executive breaches any of the Continuing Obligations (as determined by the Board in good faith), all payments of the Severance Amount shall immediately cease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and (ii) the Separation Agreement becoming irrevocable, all within 60 days after the Date of Termination (or such shorter period as set forth in the Separation Agreement), which shall include a seven (7) calendar day or seven (7) business day revocation period, as applicable:</w:t>
      </w:r>
    </w:p>
    <w:p>
      <w:pPr>
        <w:spacing w:after="0" w:line="194"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35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 amount equal to the sum of (i) nine (9) months of the Executive’s Base Salary plus (ii) the Executive’s Target Bonus for the year in which the Date of Termination occurs, without regard to whether the metrics have been established or achieved for such year, with such bonus amount to be prorated to reflect the period during such year that the Executive was employed by the Company prior to the Date of Termination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20" w:firstLine="987"/>
        <w:spacing w:after="0" w:line="253" w:lineRule="auto"/>
        <w:tabs>
          <w:tab w:leader="none" w:pos="136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 (B) 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if to the Executive, shall be subject to tax-related deductions and withholdings and paid on the Company’s regular payroll dates.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430" w:name="page431"/>
    <w:bookmarkEnd w:id="430"/>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amounts payable under Section 5, to the extent taxable, shall be paid out in substantially equal installments in accordance with the Company’s payroll practice over nine (9) months commencing within 60 days after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shall begin to be paid in the second calendar year by the last day of such 60-day period;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89" w:lineRule="exact"/>
        <w:rPr>
          <w:sz w:val="20"/>
          <w:szCs w:val="20"/>
          <w:color w:val="auto"/>
        </w:rPr>
      </w:pPr>
    </w:p>
    <w:p>
      <w:pPr>
        <w:ind w:firstLine="436"/>
        <w:spacing w:after="0" w:line="254" w:lineRule="auto"/>
        <w:tabs>
          <w:tab w:leader="none" w:pos="75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 within the Change in Control Period</w:t>
      </w:r>
      <w:r>
        <w:rPr>
          <w:rFonts w:ascii="Times New Roman" w:cs="Times New Roman" w:eastAsia="Times New Roman" w:hAnsi="Times New Roman"/>
          <w:sz w:val="18"/>
          <w:szCs w:val="18"/>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within the Change in Control Period. These provisions shall terminate and be of no further force or effect after the Change in Control Period. For the avoidance of doubt, (i) in no event will the Executive be entitled to severance benefits under both Section 5 and Section 6 of this Agreement, and (ii)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91" w:lineRule="exact"/>
        <w:rPr>
          <w:rFonts w:ascii="Times New Roman" w:cs="Times New Roman" w:eastAsia="Times New Roman" w:hAnsi="Times New Roman"/>
          <w:sz w:val="18"/>
          <w:szCs w:val="18"/>
          <w:color w:val="auto"/>
        </w:rPr>
      </w:pPr>
    </w:p>
    <w:p>
      <w:pPr>
        <w:ind w:right="20" w:firstLine="987"/>
        <w:spacing w:after="0" w:line="256" w:lineRule="auto"/>
        <w:tabs>
          <w:tab w:leader="none" w:pos="137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Company without Cause as provided in Section 3(d) or the Executive terminates employment for Good Reason as provided in Section 3(e) and in each case the Date of Termination occurs within the Change in Control Period, then, in addition to the Accrued Obligations, and subject to the signing of a general release of claims against the Company and all related persons and entities that shall not release the Executive’s rights under this Agreement and shall not include any affirmative obligations of the Executive to the Company beyond the Executive’s existing obligations to the Company immediately preceding the Date of Termination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by the Executive and the Release becoming fully effective, all within the time frame set forth in the Release but in no event more than 60 days after the Date of Termination:</w:t>
      </w:r>
    </w:p>
    <w:p>
      <w:pPr>
        <w:spacing w:after="0" w:line="79"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731"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 lump sum in cash in an amount equal to the sum of (A) 12 months of the Executive’s then-current Base Salary (or the Executive’s Base Salary in effect immediately prior to the Change in Control, if higher) plus (B) 100% of the Executive’s Target Bonus for the year in which the Date of Termination occurs, without regard to whether the metrics have been established or achieved for such year (the “</w:t>
      </w: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431" w:name="page432"/>
    <w:bookmarkEnd w:id="431"/>
    <w:p>
      <w:pPr>
        <w:ind w:left="980" w:right="100" w:firstLine="408"/>
        <w:spacing w:after="0" w:line="253" w:lineRule="auto"/>
        <w:tabs>
          <w:tab w:leader="none" w:pos="1781"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any applicable option agreement or other stock-based award agreement, all stock options and other stock-based awards held by the Executive that are subject solely to time-based vesting (the “</w:t>
      </w:r>
      <w:r>
        <w:rPr>
          <w:rFonts w:ascii="Times New Roman" w:cs="Times New Roman" w:eastAsia="Times New Roman" w:hAnsi="Times New Roman"/>
          <w:sz w:val="18"/>
          <w:szCs w:val="18"/>
          <w:u w:val="single" w:color="auto"/>
          <w:color w:val="auto"/>
        </w:rPr>
        <w:t>Time-Based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shall immediately accelerate and become fully vested and exercisable or nonforfeitable as of the later of (i) the Date of Termination or the date of the Change in Control, as applicable or (ii) the effective date of the Release (the “</w:t>
      </w:r>
      <w:r>
        <w:rPr>
          <w:rFonts w:ascii="Times New Roman" w:cs="Times New Roman" w:eastAsia="Times New Roman" w:hAnsi="Times New Roman"/>
          <w:sz w:val="18"/>
          <w:szCs w:val="18"/>
          <w:u w:val="single" w:color="auto"/>
          <w:color w:val="auto"/>
        </w:rPr>
        <w:t>Accelerated Vesting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order to effectuate the accelerated vesting contemplated by this subsection, the unvested portion of the Executive’s Time-Based Equity Awards that would otherwise terminate or be forfeited on the Date of Termination will be delayed until the earlier of (A) the date on which both a Change in Control and the effective date of the Release has occurred (at which time acceleration will occur), or</w:t>
      </w:r>
    </w:p>
    <w:p>
      <w:pPr>
        <w:spacing w:after="0" w:line="2" w:lineRule="exact"/>
        <w:rPr>
          <w:rFonts w:ascii="Times New Roman" w:cs="Times New Roman" w:eastAsia="Times New Roman" w:hAnsi="Times New Roman"/>
          <w:sz w:val="18"/>
          <w:szCs w:val="18"/>
          <w:color w:val="auto"/>
        </w:rPr>
      </w:pPr>
    </w:p>
    <w:p>
      <w:pPr>
        <w:ind w:left="980" w:firstLine="7"/>
        <w:spacing w:after="0" w:line="255" w:lineRule="auto"/>
        <w:tabs>
          <w:tab w:leader="none" w:pos="126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Release can no longer become fully effective (at which time the unvested portion of the Executive’s Time-Based Equity Awards will terminate or be forfeited). Notwithstanding the foregoing, no additional vesting of the Time-Based Equity Awards shall occur during the period between the Date of Termination and the Accelerated Vesting Date; and</w:t>
      </w:r>
    </w:p>
    <w:p>
      <w:pPr>
        <w:spacing w:after="0" w:line="77" w:lineRule="exact"/>
        <w:rPr>
          <w:rFonts w:ascii="Times New Roman" w:cs="Times New Roman" w:eastAsia="Times New Roman" w:hAnsi="Times New Roman"/>
          <w:sz w:val="18"/>
          <w:szCs w:val="18"/>
          <w:color w:val="auto"/>
        </w:rPr>
      </w:pPr>
    </w:p>
    <w:p>
      <w:pPr>
        <w:ind w:left="980" w:right="100" w:firstLine="408"/>
        <w:spacing w:after="0" w:line="270" w:lineRule="auto"/>
        <w:tabs>
          <w:tab w:leader="none" w:pos="1831"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12 month anniversary of the Date of Termination;</w:t>
      </w:r>
    </w:p>
    <w:p>
      <w:pPr>
        <w:spacing w:after="0" w:line="2" w:lineRule="exact"/>
        <w:rPr>
          <w:rFonts w:ascii="Times New Roman" w:cs="Times New Roman" w:eastAsia="Times New Roman" w:hAnsi="Times New Roman"/>
          <w:sz w:val="17"/>
          <w:szCs w:val="17"/>
          <w:color w:val="auto"/>
        </w:rPr>
      </w:pPr>
    </w:p>
    <w:p>
      <w:pPr>
        <w:ind w:left="980" w:right="20" w:firstLine="7"/>
        <w:spacing w:after="0" w:line="252" w:lineRule="auto"/>
        <w:tabs>
          <w:tab w:leader="none" w:pos="126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that the Executive becomes eligible for group medical plan benefits under any other employer’s group medical plan; or (C) the cessation of the Executive’s health continuation rights under COBRA;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if to the Executive, shall be subject to tax-related deductions and withholdings and paid on the Company’s regular payroll dates.</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amounts payable under this Section 6(a), to the extent taxable, shall be paid or commence to be paid within 60 days after the Date of Termination or, if later, the Change in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432" w:name="page433"/>
    <w:bookmarkEnd w:id="432"/>
    <w:p>
      <w:pPr>
        <w:ind w:left="400" w:hanging="393"/>
        <w:spacing w:after="0"/>
        <w:tabs>
          <w:tab w:leader="none" w:pos="4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408"/>
        <w:spacing w:after="0" w:line="252" w:lineRule="auto"/>
        <w:tabs>
          <w:tab w:leader="none" w:pos="74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8"/>
          <w:szCs w:val="18"/>
          <w:u w:val="single" w:color="auto"/>
          <w:color w:val="auto"/>
        </w:rPr>
        <w:t>Aggregate Payments</w:t>
      </w:r>
      <w:r>
        <w:rPr>
          <w:rFonts w:ascii="Times New Roman" w:cs="Times New Roman" w:eastAsia="Times New Roman" w:hAnsi="Times New Roman"/>
          <w:sz w:val="18"/>
          <w:szCs w:val="18"/>
          <w:color w:val="auto"/>
        </w:rPr>
        <w:t xml:space="preserve">”),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w:t>
      </w:r>
    </w:p>
    <w:p>
      <w:pPr>
        <w:spacing w:after="0" w:line="5"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cash payments subject to Section 409A of the Code; (3) equity-based payments and acceleration; and (4) non-cash forms of benefits;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all the foregoing Aggregate Payments all amounts or payments that are not subject to calculation under Treas.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 §1.280G-1, Q&amp;A-24(b) or (c) shall be reduced before any amounts that are subject to calculation under Treas. Reg. §1.280G-1, Q&amp;A-24(b) or (c).</w:t>
      </w:r>
    </w:p>
    <w:p>
      <w:pPr>
        <w:spacing w:after="0" w:line="80" w:lineRule="exact"/>
        <w:rPr>
          <w:rFonts w:ascii="Times New Roman" w:cs="Times New Roman" w:eastAsia="Times New Roman" w:hAnsi="Times New Roman"/>
          <w:sz w:val="18"/>
          <w:szCs w:val="18"/>
          <w:color w:val="auto"/>
        </w:rPr>
      </w:pPr>
    </w:p>
    <w:p>
      <w:pPr>
        <w:ind w:firstLine="408"/>
        <w:spacing w:after="0" w:line="256" w:lineRule="auto"/>
        <w:tabs>
          <w:tab w:leader="none" w:pos="80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6(b), the “</w:t>
      </w:r>
      <w:r>
        <w:rPr>
          <w:rFonts w:ascii="Times New Roman" w:cs="Times New Roman" w:eastAsia="Times New Roman" w:hAnsi="Times New Roman"/>
          <w:sz w:val="18"/>
          <w:szCs w:val="18"/>
          <w:u w:val="single" w:color="auto"/>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79" w:lineRule="exact"/>
        <w:rPr>
          <w:rFonts w:ascii="Times New Roman" w:cs="Times New Roman" w:eastAsia="Times New Roman" w:hAnsi="Times New Roman"/>
          <w:sz w:val="18"/>
          <w:szCs w:val="18"/>
          <w:color w:val="auto"/>
        </w:rPr>
      </w:pPr>
    </w:p>
    <w:p>
      <w:pPr>
        <w:ind w:right="20" w:firstLine="408"/>
        <w:spacing w:after="0" w:line="258" w:lineRule="auto"/>
        <w:tabs>
          <w:tab w:leader="none" w:pos="847"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 reduction in the Aggregate Payments shall be made pursuant to Section 6(b)(i) shall be made by a nationally recognized accounting firm selected by the Company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7" w:lineRule="exact"/>
        <w:rPr>
          <w:rFonts w:ascii="Times New Roman" w:cs="Times New Roman" w:eastAsia="Times New Roman" w:hAnsi="Times New Roman"/>
          <w:sz w:val="18"/>
          <w:szCs w:val="18"/>
          <w:color w:val="auto"/>
        </w:rPr>
      </w:pPr>
    </w:p>
    <w:p>
      <w:pPr>
        <w:ind w:right="40" w:firstLine="408"/>
        <w:spacing w:after="0" w:line="282" w:lineRule="auto"/>
        <w:tabs>
          <w:tab w:leader="none" w:pos="75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 “Sale Event” as defined in the Company’s 2023 Stock Option and Incentive Plan, as amended from time to time.</w:t>
      </w:r>
    </w:p>
    <w:p>
      <w:pPr>
        <w:spacing w:after="0" w:line="53" w:lineRule="exact"/>
        <w:rPr>
          <w:rFonts w:ascii="Times New Roman" w:cs="Times New Roman" w:eastAsia="Times New Roman" w:hAnsi="Times New Roman"/>
          <w:sz w:val="18"/>
          <w:szCs w:val="18"/>
          <w:color w:val="auto"/>
        </w:rPr>
      </w:pPr>
    </w:p>
    <w:p>
      <w:pPr>
        <w:jc w:val="both"/>
        <w:ind w:right="20" w:firstLine="408"/>
        <w:spacing w:after="0" w:line="282" w:lineRule="auto"/>
        <w:tabs>
          <w:tab w:leader="none" w:pos="80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Period</w:t>
      </w:r>
      <w:r>
        <w:rPr>
          <w:rFonts w:ascii="Times New Roman" w:cs="Times New Roman" w:eastAsia="Times New Roman" w:hAnsi="Times New Roman"/>
          <w:sz w:val="18"/>
          <w:szCs w:val="18"/>
          <w:color w:val="auto"/>
        </w:rPr>
        <w:t>” shall mean the period beginning on the date that is three (3) months immediately before the date of the first event constituting a Change in Control and ending on the 12 month anniversary of the first event constituting a Change in Control.</w:t>
      </w:r>
    </w:p>
    <w:p>
      <w:pPr>
        <w:spacing w:after="0" w:line="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20"/>
          </w:cols>
          <w:pgMar w:left="1420" w:top="270" w:right="459" w:bottom="1440" w:gutter="0" w:footer="0" w:header="0"/>
        </w:sectPr>
      </w:pPr>
    </w:p>
    <w:bookmarkStart w:id="433" w:name="page434"/>
    <w:bookmarkEnd w:id="433"/>
    <w:p>
      <w:pPr>
        <w:ind w:left="760" w:hanging="324"/>
        <w:spacing w:after="0"/>
        <w:tabs>
          <w:tab w:leader="none" w:pos="7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36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8" w:lineRule="exact"/>
        <w:rPr>
          <w:rFonts w:ascii="Times New Roman" w:cs="Times New Roman" w:eastAsia="Times New Roman" w:hAnsi="Times New Roman"/>
          <w:sz w:val="18"/>
          <w:szCs w:val="18"/>
          <w:color w:val="auto"/>
        </w:rPr>
      </w:pPr>
    </w:p>
    <w:p>
      <w:pPr>
        <w:ind w:right="100" w:firstLine="987"/>
        <w:spacing w:after="0" w:line="256" w:lineRule="auto"/>
        <w:tabs>
          <w:tab w:leader="none" w:pos="137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right="220" w:firstLine="987"/>
        <w:spacing w:after="0" w:line="261" w:lineRule="auto"/>
        <w:tabs>
          <w:tab w:leader="none" w:pos="1368"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378"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34" w:name="page435"/>
    <w:bookmarkEnd w:id="434"/>
    <w:p>
      <w:pPr>
        <w:jc w:val="both"/>
        <w:ind w:left="-80" w:right="40" w:firstLine="987"/>
        <w:spacing w:after="0" w:line="266" w:lineRule="auto"/>
        <w:tabs>
          <w:tab w:leader="none" w:pos="128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0" w:right="80" w:firstLine="987"/>
        <w:spacing w:after="0" w:line="256" w:lineRule="auto"/>
        <w:tabs>
          <w:tab w:leader="none" w:pos="129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As a condition of the Executive’s continued employment, the Executive shall enter into the Employee Proprietary Information and Inventions Assignment Agreement attached hereto as Exhibit A (the “</w:t>
      </w: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 For the avoidance of doubt, all restrictive covenants obligations are supplemental to one another, and in the event of any conflict between restrictive covenants obligations, the most restrictive provision that is enforceable shall govern.</w:t>
      </w:r>
    </w:p>
    <w:p>
      <w:pPr>
        <w:spacing w:after="0" w:line="187" w:lineRule="exact"/>
        <w:rPr>
          <w:rFonts w:ascii="Times New Roman" w:cs="Times New Roman" w:eastAsia="Times New Roman" w:hAnsi="Times New Roman"/>
          <w:sz w:val="18"/>
          <w:szCs w:val="18"/>
          <w:color w:val="auto"/>
        </w:rPr>
      </w:pPr>
    </w:p>
    <w:p>
      <w:pPr>
        <w:ind w:left="-80" w:right="80" w:firstLine="987"/>
        <w:spacing w:after="0" w:line="254" w:lineRule="auto"/>
        <w:tabs>
          <w:tab w:leader="none" w:pos="130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Agreements and Rights</w:t>
      </w:r>
      <w:r>
        <w:rPr>
          <w:rFonts w:ascii="Times New Roman" w:cs="Times New Roman" w:eastAsia="Times New Roman" w:hAnsi="Times New Roman"/>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1" w:lineRule="exact"/>
        <w:rPr>
          <w:rFonts w:ascii="Times New Roman" w:cs="Times New Roman" w:eastAsia="Times New Roman" w:hAnsi="Times New Roman"/>
          <w:sz w:val="18"/>
          <w:szCs w:val="18"/>
          <w:color w:val="auto"/>
        </w:rPr>
      </w:pPr>
    </w:p>
    <w:p>
      <w:pPr>
        <w:ind w:left="-80" w:firstLine="987"/>
        <w:spacing w:after="0" w:line="253" w:lineRule="auto"/>
        <w:tabs>
          <w:tab w:leader="none" w:pos="129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60"/>
          </w:cols>
          <w:pgMar w:left="520" w:top="270" w:right="519" w:bottom="1440" w:gutter="0" w:footer="0" w:header="0"/>
        </w:sectPr>
      </w:pPr>
    </w:p>
    <w:bookmarkStart w:id="435" w:name="page436"/>
    <w:bookmarkEnd w:id="435"/>
    <w:p>
      <w:pPr>
        <w:ind w:right="120" w:firstLine="987"/>
        <w:spacing w:after="0" w:line="258" w:lineRule="auto"/>
        <w:tabs>
          <w:tab w:leader="none" w:pos="1381"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Relief</w:t>
      </w:r>
      <w:r>
        <w:rPr>
          <w:rFonts w:ascii="Times New Roman" w:cs="Times New Roman" w:eastAsia="Times New Roman" w:hAnsi="Times New Roman"/>
          <w:sz w:val="18"/>
          <w:szCs w:val="18"/>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ind w:right="60" w:firstLine="436"/>
        <w:spacing w:after="0" w:line="282" w:lineRule="auto"/>
        <w:tabs>
          <w:tab w:leader="none" w:pos="7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indemnification agreement between the Company and the Executive (the “</w:t>
      </w:r>
      <w:r>
        <w:rPr>
          <w:rFonts w:ascii="Times New Roman" w:cs="Times New Roman" w:eastAsia="Times New Roman" w:hAnsi="Times New Roman"/>
          <w:sz w:val="18"/>
          <w:szCs w:val="18"/>
          <w:u w:val="single" w:color="auto"/>
          <w:color w:val="auto"/>
        </w:rPr>
        <w:t>Indemnification Agreement</w:t>
      </w:r>
      <w:r>
        <w:rPr>
          <w:rFonts w:ascii="Times New Roman" w:cs="Times New Roman" w:eastAsia="Times New Roman" w:hAnsi="Times New Roman"/>
          <w:sz w:val="18"/>
          <w:szCs w:val="18"/>
          <w:color w:val="auto"/>
        </w:rPr>
        <w:t>”) shall remain in full force and effect.</w:t>
      </w:r>
    </w:p>
    <w:p>
      <w:pPr>
        <w:spacing w:after="0" w:line="161" w:lineRule="exact"/>
        <w:rPr>
          <w:rFonts w:ascii="Times New Roman" w:cs="Times New Roman" w:eastAsia="Times New Roman" w:hAnsi="Times New Roman"/>
          <w:sz w:val="18"/>
          <w:szCs w:val="18"/>
          <w:color w:val="auto"/>
        </w:rPr>
      </w:pPr>
    </w:p>
    <w:p>
      <w:pPr>
        <w:jc w:val="both"/>
        <w:ind w:firstLine="436"/>
        <w:spacing w:after="0" w:line="261" w:lineRule="auto"/>
        <w:tabs>
          <w:tab w:leader="none" w:pos="84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rFonts w:ascii="Times New Roman" w:cs="Times New Roman" w:eastAsia="Times New Roman" w:hAnsi="Times New Roman"/>
          <w:sz w:val="18"/>
          <w:szCs w:val="18"/>
          <w:color w:val="auto"/>
        </w:rPr>
      </w:pPr>
    </w:p>
    <w:p>
      <w:pPr>
        <w:ind w:right="40" w:firstLine="436"/>
        <w:spacing w:after="0" w:line="258" w:lineRule="auto"/>
        <w:tabs>
          <w:tab w:leader="none" w:pos="8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83" w:lineRule="exact"/>
        <w:rPr>
          <w:rFonts w:ascii="Times New Roman" w:cs="Times New Roman" w:eastAsia="Times New Roman" w:hAnsi="Times New Roman"/>
          <w:sz w:val="18"/>
          <w:szCs w:val="18"/>
          <w:color w:val="auto"/>
        </w:rPr>
      </w:pPr>
    </w:p>
    <w:p>
      <w:pPr>
        <w:ind w:right="60" w:firstLine="436"/>
        <w:spacing w:after="0" w:line="266" w:lineRule="auto"/>
        <w:tabs>
          <w:tab w:leader="none" w:pos="84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xml:space="preserve">. This Agreement constitutes the entire agreement between the parties with respect to the subject matter hereof and supersedes all prior agreements between the parties concerning such subject matter, including the Prior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Equity Documents, the Continuing Obligations and the Indemnification Agreement remain in full force and effect.</w:t>
      </w:r>
    </w:p>
    <w:p>
      <w:pPr>
        <w:spacing w:after="0" w:line="175" w:lineRule="exact"/>
        <w:rPr>
          <w:rFonts w:ascii="Times New Roman" w:cs="Times New Roman" w:eastAsia="Times New Roman" w:hAnsi="Times New Roman"/>
          <w:sz w:val="18"/>
          <w:szCs w:val="18"/>
          <w:color w:val="auto"/>
        </w:rPr>
      </w:pPr>
    </w:p>
    <w:p>
      <w:pPr>
        <w:ind w:right="20" w:firstLine="436"/>
        <w:spacing w:after="0" w:line="261" w:lineRule="auto"/>
        <w:tabs>
          <w:tab w:leader="none" w:pos="84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84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36" w:name="page437"/>
    <w:bookmarkEnd w:id="436"/>
    <w:p>
      <w:pPr>
        <w:jc w:val="both"/>
        <w:ind w:right="240" w:firstLine="436"/>
        <w:spacing w:after="0" w:line="261" w:lineRule="auto"/>
        <w:tabs>
          <w:tab w:leader="none" w:pos="8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8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61" w:lineRule="exact"/>
        <w:rPr>
          <w:rFonts w:ascii="Times New Roman" w:cs="Times New Roman" w:eastAsia="Times New Roman" w:hAnsi="Times New Roman"/>
          <w:sz w:val="18"/>
          <w:szCs w:val="18"/>
          <w:color w:val="auto"/>
        </w:rPr>
      </w:pPr>
    </w:p>
    <w:p>
      <w:pPr>
        <w:jc w:val="both"/>
        <w:ind w:right="400" w:firstLine="436"/>
        <w:spacing w:after="0" w:line="266" w:lineRule="auto"/>
        <w:tabs>
          <w:tab w:leader="none" w:pos="8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Times New Roman" w:cs="Times New Roman" w:eastAsia="Times New Roman" w:hAnsi="Times New Roman"/>
          <w:sz w:val="18"/>
          <w:szCs w:val="18"/>
          <w:color w:val="auto"/>
        </w:rPr>
      </w:pPr>
    </w:p>
    <w:p>
      <w:pPr>
        <w:ind w:right="200" w:firstLine="436"/>
        <w:spacing w:after="0" w:line="258" w:lineRule="auto"/>
        <w:tabs>
          <w:tab w:leader="none" w:pos="8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CEO. Notices, requests, demands and other communications provided for by this Agreement shall also be sufficient if sent by email to the Company email address of the Executive or, in the case of Company, the Company email address of the CEO, with confirmation of receipt.</w:t>
      </w:r>
    </w:p>
    <w:p>
      <w:pPr>
        <w:spacing w:after="0" w:line="183" w:lineRule="exact"/>
        <w:rPr>
          <w:rFonts w:ascii="Times New Roman" w:cs="Times New Roman" w:eastAsia="Times New Roman" w:hAnsi="Times New Roman"/>
          <w:sz w:val="18"/>
          <w:szCs w:val="18"/>
          <w:color w:val="auto"/>
        </w:rPr>
      </w:pPr>
    </w:p>
    <w:p>
      <w:pPr>
        <w:ind w:right="180" w:firstLine="436"/>
        <w:spacing w:after="0" w:line="282" w:lineRule="auto"/>
        <w:tabs>
          <w:tab w:leader="none" w:pos="8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the Executive and by a duly authorized representative of the Company.</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84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and Agreements</w:t>
      </w:r>
      <w:r>
        <w:rPr>
          <w:rFonts w:ascii="Times New Roman" w:cs="Times New Roman" w:eastAsia="Times New Roman" w:hAnsi="Times New Roman"/>
          <w:sz w:val="18"/>
          <w:szCs w:val="18"/>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Notwithstanding anything to the contrary in this Agreement, all severance pay and benefits provided to the Executive pursuant to Section 5 or Section 6 of this Agreement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37" w:name="page438"/>
    <w:bookmarkEnd w:id="437"/>
    <w:p>
      <w:pPr>
        <w:ind w:left="-40" w:right="300" w:firstLine="436"/>
        <w:spacing w:after="0" w:line="266" w:lineRule="auto"/>
        <w:tabs>
          <w:tab w:leader="none" w:pos="80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is a Delaware contract and shall be construed under and be governed in all respects by the laws of the State of Delaware, without giving effect to the conflict of laws principles thereof. With respect to any disputes concerning federal law, such disputes shall be determined in accordance with the law as it would be interpreted and applied by the United States Court of Appeals for the Third Circuit.</w:t>
      </w:r>
    </w:p>
    <w:p>
      <w:pPr>
        <w:spacing w:after="0" w:line="175" w:lineRule="exact"/>
        <w:rPr>
          <w:rFonts w:ascii="Times New Roman" w:cs="Times New Roman" w:eastAsia="Times New Roman" w:hAnsi="Times New Roman"/>
          <w:sz w:val="18"/>
          <w:szCs w:val="18"/>
          <w:color w:val="auto"/>
        </w:rPr>
      </w:pPr>
    </w:p>
    <w:p>
      <w:pPr>
        <w:ind w:left="-40" w:firstLine="436"/>
        <w:spacing w:after="0" w:line="282" w:lineRule="auto"/>
        <w:tabs>
          <w:tab w:leader="none" w:pos="80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61" w:lineRule="exact"/>
        <w:rPr>
          <w:rFonts w:ascii="Times New Roman" w:cs="Times New Roman" w:eastAsia="Times New Roman" w:hAnsi="Times New Roman"/>
          <w:sz w:val="18"/>
          <w:szCs w:val="18"/>
          <w:color w:val="auto"/>
        </w:rPr>
      </w:pPr>
    </w:p>
    <w:p>
      <w:pPr>
        <w:ind w:left="-40" w:firstLine="436"/>
        <w:spacing w:after="0" w:line="252" w:lineRule="auto"/>
        <w:tabs>
          <w:tab w:leader="none" w:pos="80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Executive acknowledges that the Executive may become subject to the Korro Bio, Inc. Compensation Recovery Policy adopted pursuant to Rule 10D-1 promulgated under the Securities Exchange Act of 1934 and Nasdaq Rule 5608, or any successor rule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The Executive understands that if the Executive is or becomes subject to the Clawback Policy, the Company and/or the Board shall be entitled to recover all Erroneously Awarded Compensation (as defined in the Clawback Policy) from the Executive pursuant to such means as the Company and/or the Board may elect. The Executive agrees that the Executive shall take all required action to enable such recovery. The Executive understands that such recovery may be sought and occur after the Executive’s employment or service with the Company terminates. The Executive further agrees that the Executive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Executive hereby irrevocably agrees to forego such indemnification. The Executive acknowledges and agrees that the Executive has received and has had an opportunity to review the Clawback Policy. Any action by the Company to recover Erroneously Awarded Compensation under the Clawback Policy from the Executive shall not, whether alone or in combination with any other action, event or condition, be deemed (i) a Good Reason Condition or serve as a basis for a claim of constructive termination under any benefits or compensation arrangement applicable to the Executive, or (ii) to constitute a breach of a contract or other arrangement to which the Executive is a party. This Section 23 is a material term of this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70" w:right="49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on behalf of itself and its subsidiaries,</w:t>
      </w:r>
    </w:p>
    <w:p>
      <w:pPr>
        <w:spacing w:after="0" w:line="250"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Ram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640" w:val="left"/>
        </w:tabs>
        <w:rPr>
          <w:sz w:val="20"/>
          <w:szCs w:val="20"/>
          <w:color w:val="auto"/>
        </w:rPr>
      </w:pPr>
      <w:r>
        <w:rPr>
          <w:rFonts w:ascii="Times New Roman" w:cs="Times New Roman" w:eastAsia="Times New Roman" w:hAnsi="Times New Roman"/>
          <w:sz w:val="18"/>
          <w:szCs w:val="18"/>
          <w:color w:val="auto"/>
        </w:rPr>
        <w:t>Its:</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 November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7">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Todd Chappell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Todd Chappell</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Date: November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17145</wp:posOffset>
            </wp:positionV>
            <wp:extent cx="248602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ectPr>
          <w:pgSz w:w="11900" w:h="16838" w:orient="portrait"/>
          <w:cols w:equalWidth="0" w:num="1">
            <w:col w:w="9579"/>
          </w:cols>
          <w:pgMar w:left="880" w:top="270" w:right="1440" w:bottom="1440" w:gutter="0" w:footer="0" w:header="0"/>
        </w:sectPr>
      </w:pPr>
    </w:p>
    <w:bookmarkStart w:id="439" w:name="page440"/>
    <w:bookmarkEnd w:id="4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Covenants Agreement</w:t>
      </w:r>
    </w:p>
    <w:p>
      <w:pPr>
        <w:sectPr>
          <w:pgSz w:w="11900" w:h="16838" w:orient="portrait"/>
          <w:cols w:equalWidth="0" w:num="1">
            <w:col w:w="9019"/>
          </w:cols>
          <w:pgMar w:left="1440" w:top="266" w:right="1440" w:bottom="1440" w:gutter="0" w:footer="0" w:header="0"/>
        </w:sectPr>
      </w:pPr>
    </w:p>
    <w:bookmarkStart w:id="440" w:name="page441"/>
    <w:bookmarkEnd w:id="44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62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0" w:type="dxa"/>
            <w:vAlign w:val="bottom"/>
          </w:tcPr>
          <w:p>
            <w:pPr>
              <w:spacing w:after="0"/>
              <w:rPr>
                <w:sz w:val="1"/>
                <w:szCs w:val="1"/>
                <w:color w:val="auto"/>
              </w:rPr>
            </w:pPr>
          </w:p>
        </w:tc>
      </w:tr>
      <w:tr>
        <w:trPr>
          <w:trHeight w:val="369"/>
        </w:trPr>
        <w:tc>
          <w:tcPr>
            <w:tcW w:w="4780" w:type="dxa"/>
            <w:vAlign w:val="bottom"/>
            <w:vMerge w:val="restart"/>
          </w:tcPr>
          <w:p>
            <w:pPr>
              <w:jc w:val="center"/>
              <w:ind w:left="755"/>
              <w:spacing w:after="0"/>
              <w:rPr>
                <w:sz w:val="20"/>
                <w:szCs w:val="20"/>
                <w:color w:val="auto"/>
              </w:rPr>
            </w:pPr>
            <w:r>
              <w:rPr>
                <w:rFonts w:ascii="Times New Roman" w:cs="Times New Roman" w:eastAsia="Times New Roman" w:hAnsi="Times New Roman"/>
                <w:sz w:val="14"/>
                <w:szCs w:val="14"/>
                <w:color w:val="auto"/>
              </w:rPr>
              <w:t>Subsidiary</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0" w:type="dxa"/>
            <w:vAlign w:val="bottom"/>
          </w:tcPr>
          <w:p>
            <w:pPr>
              <w:spacing w:after="0"/>
              <w:rPr>
                <w:sz w:val="1"/>
                <w:szCs w:val="1"/>
                <w:color w:val="auto"/>
              </w:rPr>
            </w:pPr>
          </w:p>
        </w:tc>
      </w:tr>
      <w:tr>
        <w:trPr>
          <w:trHeight w:val="185"/>
        </w:trPr>
        <w:tc>
          <w:tcPr>
            <w:tcW w:w="47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Organization</w:t>
            </w:r>
          </w:p>
        </w:tc>
        <w:tc>
          <w:tcPr>
            <w:tcW w:w="0" w:type="dxa"/>
            <w:vAlign w:val="bottom"/>
          </w:tcPr>
          <w:p>
            <w:pPr>
              <w:spacing w:after="0"/>
              <w:rPr>
                <w:sz w:val="1"/>
                <w:szCs w:val="1"/>
                <w:color w:val="auto"/>
              </w:rPr>
            </w:pPr>
          </w:p>
        </w:tc>
      </w:tr>
      <w:tr>
        <w:trPr>
          <w:trHeight w:val="191"/>
        </w:trPr>
        <w:tc>
          <w:tcPr>
            <w:tcW w:w="4780" w:type="dxa"/>
            <w:vAlign w:val="bottom"/>
          </w:tcPr>
          <w:p>
            <w:pPr>
              <w:jc w:val="center"/>
              <w:ind w:left="755"/>
              <w:spacing w:after="0" w:line="191" w:lineRule="exact"/>
              <w:rPr>
                <w:sz w:val="20"/>
                <w:szCs w:val="20"/>
                <w:color w:val="auto"/>
              </w:rPr>
            </w:pPr>
            <w:r>
              <w:rPr>
                <w:rFonts w:ascii="Times New Roman" w:cs="Times New Roman" w:eastAsia="Times New Roman" w:hAnsi="Times New Roman"/>
                <w:sz w:val="18"/>
                <w:szCs w:val="18"/>
                <w:color w:val="auto"/>
              </w:rPr>
              <w:t>Korro Mass Securities, Inc.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r>
        <w:trPr>
          <w:trHeight w:val="216"/>
        </w:trPr>
        <w:tc>
          <w:tcPr>
            <w:tcW w:w="47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w w:val="99"/>
              </w:rPr>
              <w:t>Frequency Therapeutics Pty Ltd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c>
          <w:tcPr>
            <w:tcW w:w="0" w:type="dxa"/>
            <w:vAlign w:val="bottom"/>
          </w:tcPr>
          <w:p>
            <w:pPr>
              <w:spacing w:after="0"/>
              <w:rPr>
                <w:sz w:val="1"/>
                <w:szCs w:val="1"/>
                <w:color w:val="auto"/>
              </w:rPr>
            </w:pPr>
          </w:p>
        </w:tc>
      </w:tr>
      <w:tr>
        <w:trPr>
          <w:trHeight w:val="234"/>
        </w:trPr>
        <w:tc>
          <w:tcPr>
            <w:tcW w:w="478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rPr>
              <w:t>Frequency Therapeutics Securities Corporation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441" w:name="page442"/>
    <w:bookmarkEnd w:id="4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July 27, 2023, in the Registration Statement (Form S-1) and related Prospectus of Korro Bio, Inc. for the registration of 2,077,864 shares of its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2023</w:t>
      </w:r>
    </w:p>
    <w:p>
      <w:pPr>
        <w:sectPr>
          <w:pgSz w:w="11900" w:h="16838" w:orient="portrait"/>
          <w:cols w:equalWidth="0" w:num="1">
            <w:col w:w="11020"/>
          </w:cols>
          <w:pgMar w:left="440" w:top="117" w:right="439"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use in this Amendment No. 1 to the Registration Statement on Form S-3 (No. 333-275353) on Form S-1 of Korro Bio, Inc. of our report dated March 10, 2023, except for the effect of the reverse stock split discussed in Note 19b, as to which the date is December 1, 2023, relating to the consolidated financial statements of Frequency Therapeutics, Inc.,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2023</w:t>
      </w:r>
    </w:p>
    <w:p>
      <w:pPr>
        <w:sectPr>
          <w:pgSz w:w="11900" w:h="16838" w:orient="portrait"/>
          <w:cols w:equalWidth="0" w:num="1">
            <w:col w:w="11020"/>
          </w:cols>
          <w:pgMar w:left="440" w:top="117" w:right="439" w:bottom="1440" w:gutter="0" w:footer="0" w:header="0"/>
        </w:sectPr>
      </w:pPr>
    </w:p>
    <w:bookmarkStart w:id="443" w:name="page444"/>
    <w:bookmarkEnd w:id="443"/>
    <w:p>
      <w:pPr>
        <w:jc w:val="right"/>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BY THESE PRESENTS, that the individual whose signature appears below hereby constitutes and appoints each of Ram Aiyar and Vineet Agarwal,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connection therewith,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6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70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34"/>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Rachel Meyers</w:t>
            </w:r>
          </w:p>
        </w:tc>
        <w:tc>
          <w:tcPr>
            <w:tcW w:w="3460" w:type="dxa"/>
            <w:vAlign w:val="bottom"/>
          </w:tcPr>
          <w:p>
            <w:pPr>
              <w:jc w:val="center"/>
              <w:ind w:left="219"/>
              <w:spacing w:after="0"/>
              <w:rPr>
                <w:sz w:val="20"/>
                <w:szCs w:val="20"/>
                <w:color w:val="auto"/>
              </w:rPr>
            </w:pPr>
            <w:r>
              <w:rPr>
                <w:rFonts w:ascii="Times New Roman" w:cs="Times New Roman" w:eastAsia="Times New Roman" w:hAnsi="Times New Roman"/>
                <w:sz w:val="18"/>
                <w:szCs w:val="18"/>
                <w:color w:val="auto"/>
                <w:w w:val="99"/>
              </w:rPr>
              <w:t>Director</w:t>
            </w:r>
          </w:p>
        </w:tc>
        <w:tc>
          <w:tcPr>
            <w:tcW w:w="2700" w:type="dxa"/>
            <w:vAlign w:val="bottom"/>
          </w:tcPr>
          <w:p>
            <w:pPr>
              <w:jc w:val="center"/>
              <w:ind w:left="1199"/>
              <w:spacing w:after="0"/>
              <w:rPr>
                <w:sz w:val="20"/>
                <w:szCs w:val="20"/>
                <w:color w:val="auto"/>
              </w:rPr>
            </w:pPr>
            <w:r>
              <w:rPr>
                <w:rFonts w:ascii="Times New Roman" w:cs="Times New Roman" w:eastAsia="Times New Roman" w:hAnsi="Times New Roman"/>
                <w:sz w:val="18"/>
                <w:szCs w:val="18"/>
                <w:color w:val="auto"/>
                <w:w w:val="98"/>
              </w:rPr>
              <w:t>November 28,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Rachel Meyers</w:t>
            </w:r>
          </w:p>
        </w:tc>
        <w:tc>
          <w:tcPr>
            <w:tcW w:w="346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19E7F"/>
    <w:multiLevelType w:val="hybridMultilevel"/>
    <w:lvl w:ilvl="0">
      <w:lvlJc w:val="left"/>
      <w:lvlText w:val="•"/>
      <w:numFmt w:val="bullet"/>
      <w:start w:val="1"/>
    </w:lvl>
  </w:abstractNum>
  <w:abstractNum w:abstractNumId="1">
    <w:nsid w:val="57C7D42D"/>
    <w:multiLevelType w:val="hybridMultilevel"/>
    <w:lvl w:ilvl="0">
      <w:lvlJc w:val="left"/>
      <w:lvlText w:val="•"/>
      <w:numFmt w:val="bullet"/>
      <w:start w:val="1"/>
    </w:lvl>
  </w:abstractNum>
  <w:abstractNum w:abstractNumId="2">
    <w:nsid w:val="312167AD"/>
    <w:multiLevelType w:val="hybridMultilevel"/>
    <w:lvl w:ilvl="0">
      <w:lvlJc w:val="left"/>
      <w:lvlText w:val="•"/>
      <w:numFmt w:val="bullet"/>
      <w:start w:val="1"/>
    </w:lvl>
  </w:abstractNum>
  <w:abstractNum w:abstractNumId="3">
    <w:nsid w:val="631B64D4"/>
    <w:multiLevelType w:val="hybridMultilevel"/>
    <w:lvl w:ilvl="0">
      <w:lvlJc w:val="left"/>
      <w:lvlText w:val="•"/>
      <w:numFmt w:val="bullet"/>
      <w:start w:val="1"/>
    </w:lvl>
  </w:abstractNum>
  <w:abstractNum w:abstractNumId="4">
    <w:nsid w:val="78B5E776"/>
    <w:multiLevelType w:val="hybridMultilevel"/>
    <w:lvl w:ilvl="0">
      <w:lvlJc w:val="left"/>
      <w:lvlText w:val="•"/>
      <w:numFmt w:val="bullet"/>
      <w:start w:val="1"/>
    </w:lvl>
  </w:abstractNum>
  <w:abstractNum w:abstractNumId="5">
    <w:nsid w:val="75486E47"/>
    <w:multiLevelType w:val="hybridMultilevel"/>
    <w:lvl w:ilvl="0">
      <w:lvlJc w:val="left"/>
      <w:lvlText w:val="•"/>
      <w:numFmt w:val="bullet"/>
      <w:start w:val="1"/>
    </w:lvl>
  </w:abstractNum>
  <w:abstractNum w:abstractNumId="6">
    <w:nsid w:val="6E534CDE"/>
    <w:multiLevelType w:val="hybridMultilevel"/>
    <w:lvl w:ilvl="0">
      <w:lvlJc w:val="left"/>
      <w:lvlText w:val="•"/>
      <w:numFmt w:val="bullet"/>
      <w:start w:val="1"/>
    </w:lvl>
  </w:abstractNum>
  <w:abstractNum w:abstractNumId="7">
    <w:nsid w:val="1A0DDE32"/>
    <w:multiLevelType w:val="hybridMultilevel"/>
    <w:lvl w:ilvl="0">
      <w:lvlJc w:val="left"/>
      <w:lvlText w:val="•"/>
      <w:numFmt w:val="bullet"/>
      <w:start w:val="1"/>
    </w:lvl>
  </w:abstractNum>
  <w:abstractNum w:abstractNumId="8">
    <w:nsid w:val="65968C1C"/>
    <w:multiLevelType w:val="hybridMultilevel"/>
    <w:lvl w:ilvl="0">
      <w:lvlJc w:val="left"/>
      <w:lvlText w:val="•"/>
      <w:numFmt w:val="bullet"/>
      <w:start w:val="1"/>
    </w:lvl>
  </w:abstractNum>
  <w:abstractNum w:abstractNumId="9">
    <w:nsid w:val="46263DEC"/>
    <w:multiLevelType w:val="hybridMultilevel"/>
    <w:lvl w:ilvl="0">
      <w:lvlJc w:val="left"/>
      <w:lvlText w:val="•"/>
      <w:numFmt w:val="bullet"/>
      <w:start w:val="1"/>
    </w:lvl>
  </w:abstractNum>
  <w:abstractNum w:abstractNumId="10">
    <w:nsid w:val="260D8C4A"/>
    <w:multiLevelType w:val="hybridMultilevel"/>
    <w:lvl w:ilvl="0">
      <w:lvlJc w:val="left"/>
      <w:lvlText w:val="•"/>
      <w:numFmt w:val="bullet"/>
      <w:start w:val="1"/>
    </w:lvl>
  </w:abstractNum>
  <w:abstractNum w:abstractNumId="11">
    <w:nsid w:val="73D4D3C4"/>
    <w:multiLevelType w:val="hybridMultilevel"/>
    <w:lvl w:ilvl="0">
      <w:lvlJc w:val="left"/>
      <w:lvlText w:val="•"/>
      <w:numFmt w:val="bullet"/>
      <w:start w:val="1"/>
    </w:lvl>
  </w:abstractNum>
  <w:abstractNum w:abstractNumId="12">
    <w:nsid w:val="746F2E30"/>
    <w:multiLevelType w:val="hybridMultilevel"/>
    <w:lvl w:ilvl="0">
      <w:lvlJc w:val="left"/>
      <w:lvlText w:val="•"/>
      <w:numFmt w:val="bullet"/>
      <w:start w:val="1"/>
    </w:lvl>
  </w:abstractNum>
  <w:abstractNum w:abstractNumId="13">
    <w:nsid w:val="6FDE8AF6"/>
    <w:multiLevelType w:val="hybridMultilevel"/>
    <w:lvl w:ilvl="0">
      <w:lvlJc w:val="left"/>
      <w:lvlText w:val="•"/>
      <w:numFmt w:val="bullet"/>
      <w:start w:val="1"/>
    </w:lvl>
  </w:abstractNum>
  <w:abstractNum w:abstractNumId="14">
    <w:nsid w:val="3FC32E20"/>
    <w:multiLevelType w:val="hybridMultilevel"/>
    <w:lvl w:ilvl="0">
      <w:lvlJc w:val="left"/>
      <w:lvlText w:val="•"/>
      <w:numFmt w:val="bullet"/>
      <w:start w:val="1"/>
    </w:lvl>
  </w:abstractNum>
  <w:abstractNum w:abstractNumId="15">
    <w:nsid w:val="49C0E823"/>
    <w:multiLevelType w:val="hybridMultilevel"/>
    <w:lvl w:ilvl="0">
      <w:lvlJc w:val="left"/>
      <w:lvlText w:val="•"/>
      <w:numFmt w:val="bullet"/>
      <w:start w:val="1"/>
    </w:lvl>
  </w:abstractNum>
  <w:abstractNum w:abstractNumId="16">
    <w:nsid w:val="14D53685"/>
    <w:multiLevelType w:val="hybridMultilevel"/>
    <w:lvl w:ilvl="0">
      <w:lvlJc w:val="left"/>
      <w:lvlText w:val="•"/>
      <w:numFmt w:val="bullet"/>
      <w:start w:val="1"/>
    </w:lvl>
  </w:abstractNum>
  <w:abstractNum w:abstractNumId="17">
    <w:nsid w:val="230F856C"/>
    <w:multiLevelType w:val="hybridMultilevel"/>
    <w:lvl w:ilvl="0">
      <w:lvlJc w:val="left"/>
      <w:lvlText w:val="•"/>
      <w:numFmt w:val="bullet"/>
      <w:start w:val="1"/>
    </w:lvl>
  </w:abstractNum>
  <w:abstractNum w:abstractNumId="18">
    <w:nsid w:val="6EAA85FB"/>
    <w:multiLevelType w:val="hybridMultilevel"/>
    <w:lvl w:ilvl="0">
      <w:lvlJc w:val="left"/>
      <w:lvlText w:val="•"/>
      <w:numFmt w:val="bullet"/>
      <w:start w:val="1"/>
    </w:lvl>
  </w:abstractNum>
  <w:abstractNum w:abstractNumId="19">
    <w:nsid w:val="3F06ECB2"/>
    <w:multiLevelType w:val="hybridMultilevel"/>
    <w:lvl w:ilvl="0">
      <w:lvlJc w:val="left"/>
      <w:lvlText w:val="•"/>
      <w:numFmt w:val="bullet"/>
      <w:start w:val="1"/>
    </w:lvl>
  </w:abstractNum>
  <w:abstractNum w:abstractNumId="20">
    <w:nsid w:val="3B594807"/>
    <w:multiLevelType w:val="hybridMultilevel"/>
    <w:lvl w:ilvl="0">
      <w:lvlJc w:val="left"/>
      <w:lvlText w:val="•"/>
      <w:numFmt w:val="bullet"/>
      <w:start w:val="1"/>
    </w:lvl>
  </w:abstractNum>
  <w:abstractNum w:abstractNumId="21">
    <w:nsid w:val="6CAA2304"/>
    <w:multiLevelType w:val="hybridMultilevel"/>
    <w:lvl w:ilvl="0">
      <w:lvlJc w:val="left"/>
      <w:lvlText w:val="•"/>
      <w:numFmt w:val="bullet"/>
      <w:start w:val="1"/>
    </w:lvl>
  </w:abstractNum>
  <w:abstractNum w:abstractNumId="22">
    <w:nsid w:val="3F7C2FF4"/>
    <w:multiLevelType w:val="hybridMultilevel"/>
    <w:lvl w:ilvl="0">
      <w:lvlJc w:val="left"/>
      <w:lvlText w:val="•"/>
      <w:numFmt w:val="bullet"/>
      <w:start w:val="1"/>
    </w:lvl>
  </w:abstractNum>
  <w:abstractNum w:abstractNumId="23">
    <w:nsid w:val="25413BEC"/>
    <w:multiLevelType w:val="hybridMultilevel"/>
    <w:lvl w:ilvl="0">
      <w:lvlJc w:val="left"/>
      <w:lvlText w:val="•"/>
      <w:numFmt w:val="bullet"/>
      <w:start w:val="1"/>
    </w:lvl>
  </w:abstractNum>
  <w:abstractNum w:abstractNumId="24">
    <w:nsid w:val="17180B0B"/>
    <w:multiLevelType w:val="hybridMultilevel"/>
    <w:lvl w:ilvl="0">
      <w:lvlJc w:val="left"/>
      <w:lvlText w:val="•"/>
      <w:numFmt w:val="bullet"/>
      <w:start w:val="1"/>
    </w:lvl>
  </w:abstractNum>
  <w:abstractNum w:abstractNumId="25">
    <w:nsid w:val="579328B9"/>
    <w:multiLevelType w:val="hybridMultilevel"/>
    <w:lvl w:ilvl="0">
      <w:lvlJc w:val="left"/>
      <w:lvlText w:val="•"/>
      <w:numFmt w:val="bullet"/>
      <w:start w:val="1"/>
    </w:lvl>
  </w:abstractNum>
  <w:abstractNum w:abstractNumId="26">
    <w:nsid w:val="5D205E20"/>
    <w:multiLevelType w:val="hybridMultilevel"/>
    <w:lvl w:ilvl="0">
      <w:lvlJc w:val="left"/>
      <w:lvlText w:val="•"/>
      <w:numFmt w:val="bullet"/>
      <w:start w:val="1"/>
    </w:lvl>
  </w:abstractNum>
  <w:abstractNum w:abstractNumId="27">
    <w:nsid w:val="11CCA8BA"/>
    <w:multiLevelType w:val="hybridMultilevel"/>
    <w:lvl w:ilvl="0">
      <w:lvlJc w:val="left"/>
      <w:lvlText w:val="•"/>
      <w:numFmt w:val="bullet"/>
      <w:start w:val="1"/>
    </w:lvl>
  </w:abstractNum>
  <w:abstractNum w:abstractNumId="28">
    <w:nsid w:val="4D32AB86"/>
    <w:multiLevelType w:val="hybridMultilevel"/>
    <w:lvl w:ilvl="0">
      <w:lvlJc w:val="left"/>
      <w:lvlText w:val="•"/>
      <w:numFmt w:val="bullet"/>
      <w:start w:val="1"/>
    </w:lvl>
  </w:abstractNum>
  <w:abstractNum w:abstractNumId="29">
    <w:nsid w:val="3F07ACC3"/>
    <w:multiLevelType w:val="hybridMultilevel"/>
    <w:lvl w:ilvl="0">
      <w:lvlJc w:val="left"/>
      <w:lvlText w:val="•"/>
      <w:numFmt w:val="bullet"/>
      <w:start w:val="1"/>
    </w:lvl>
  </w:abstractNum>
  <w:abstractNum w:abstractNumId="30">
    <w:nsid w:val="6B47F63E"/>
    <w:multiLevelType w:val="hybridMultilevel"/>
    <w:lvl w:ilvl="0">
      <w:lvlJc w:val="left"/>
      <w:lvlText w:val="•"/>
      <w:numFmt w:val="bullet"/>
      <w:start w:val="1"/>
    </w:lvl>
  </w:abstractNum>
  <w:abstractNum w:abstractNumId="31">
    <w:nsid w:val="5CB44A05"/>
    <w:multiLevelType w:val="hybridMultilevel"/>
    <w:lvl w:ilvl="0">
      <w:lvlJc w:val="left"/>
      <w:lvlText w:val="•"/>
      <w:numFmt w:val="bullet"/>
      <w:start w:val="1"/>
    </w:lvl>
  </w:abstractNum>
  <w:abstractNum w:abstractNumId="32">
    <w:nsid w:val="16CF80F1"/>
    <w:multiLevelType w:val="hybridMultilevel"/>
    <w:lvl w:ilvl="0">
      <w:lvlJc w:val="left"/>
      <w:lvlText w:val="•"/>
      <w:numFmt w:val="bullet"/>
      <w:start w:val="1"/>
    </w:lvl>
  </w:abstractNum>
  <w:abstractNum w:abstractNumId="33">
    <w:nsid w:val="1C695DEC"/>
    <w:multiLevelType w:val="hybridMultilevel"/>
    <w:lvl w:ilvl="0">
      <w:lvlJc w:val="left"/>
      <w:lvlText w:val="•"/>
      <w:numFmt w:val="bullet"/>
      <w:start w:val="1"/>
    </w:lvl>
  </w:abstractNum>
  <w:abstractNum w:abstractNumId="34">
    <w:nsid w:val="3FCFAED9"/>
    <w:multiLevelType w:val="hybridMultilevel"/>
    <w:lvl w:ilvl="0">
      <w:lvlJc w:val="left"/>
      <w:lvlText w:val="•"/>
      <w:numFmt w:val="bullet"/>
      <w:start w:val="1"/>
    </w:lvl>
  </w:abstractNum>
  <w:abstractNum w:abstractNumId="35">
    <w:nsid w:val="F856867"/>
    <w:multiLevelType w:val="hybridMultilevel"/>
    <w:lvl w:ilvl="0">
      <w:lvlJc w:val="left"/>
      <w:lvlText w:val="$"/>
      <w:numFmt w:val="bullet"/>
      <w:start w:val="1"/>
    </w:lvl>
  </w:abstractNum>
  <w:abstractNum w:abstractNumId="36">
    <w:nsid w:val="11B1CC33"/>
    <w:multiLevelType w:val="hybridMultilevel"/>
    <w:lvl w:ilvl="0">
      <w:lvlJc w:val="left"/>
      <w:lvlText w:val="$"/>
      <w:numFmt w:val="bullet"/>
      <w:start w:val="1"/>
    </w:lvl>
  </w:abstractNum>
  <w:abstractNum w:abstractNumId="37">
    <w:nsid w:val="2E22FBB7"/>
    <w:multiLevelType w:val="hybridMultilevel"/>
    <w:lvl w:ilvl="0">
      <w:lvlJc w:val="left"/>
      <w:lvlText w:val="(%1)"/>
      <w:numFmt w:val="lowerRoman"/>
      <w:start w:val="1"/>
    </w:lvl>
  </w:abstractNum>
  <w:abstractNum w:abstractNumId="38">
    <w:nsid w:val="29934699"/>
    <w:multiLevelType w:val="hybridMultilevel"/>
    <w:lvl w:ilvl="0">
      <w:lvlJc w:val="left"/>
      <w:lvlText w:val="%1."/>
      <w:numFmt w:val="upperLetter"/>
      <w:start w:val="1"/>
    </w:lvl>
  </w:abstractNum>
  <w:abstractNum w:abstractNumId="39">
    <w:nsid w:val="77485850"/>
    <w:multiLevelType w:val="hybridMultilevel"/>
    <w:lvl w:ilvl="0">
      <w:lvlJc w:val="left"/>
      <w:lvlText w:val="%1."/>
      <w:numFmt w:val="upperLetter"/>
      <w:start w:val="7"/>
    </w:lvl>
  </w:abstractNum>
  <w:abstractNum w:abstractNumId="40">
    <w:nsid w:val="744939A3"/>
    <w:multiLevelType w:val="hybridMultilevel"/>
    <w:lvl w:ilvl="0">
      <w:lvlJc w:val="left"/>
      <w:lvlText w:val="%1."/>
      <w:numFmt w:val="upperLetter"/>
      <w:start w:val="8"/>
    </w:lvl>
  </w:abstractNum>
  <w:abstractNum w:abstractNumId="41">
    <w:nsid w:val="4FA0D2E3"/>
    <w:multiLevelType w:val="hybridMultilevel"/>
    <w:lvl w:ilvl="0">
      <w:lvlJc w:val="left"/>
      <w:lvlText w:val="%1."/>
      <w:numFmt w:val="upperLetter"/>
      <w:start w:val="10"/>
    </w:lvl>
  </w:abstractNum>
  <w:abstractNum w:abstractNumId="42">
    <w:nsid w:val="6B1D2C14"/>
    <w:multiLevelType w:val="hybridMultilevel"/>
    <w:lvl w:ilvl="0">
      <w:lvlJc w:val="left"/>
      <w:lvlText w:val="%1."/>
      <w:numFmt w:val="upperLetter"/>
      <w:start w:val="12"/>
    </w:lvl>
  </w:abstractNum>
  <w:abstractNum w:abstractNumId="43">
    <w:nsid w:val="68B867D3"/>
    <w:multiLevelType w:val="hybridMultilevel"/>
    <w:lvl w:ilvl="0">
      <w:lvlJc w:val="left"/>
      <w:lvlText w:val="•"/>
      <w:numFmt w:val="bullet"/>
      <w:start w:val="1"/>
    </w:lvl>
  </w:abstractNum>
  <w:abstractNum w:abstractNumId="44">
    <w:nsid w:val="3F7F5DD9"/>
    <w:multiLevelType w:val="hybridMultilevel"/>
    <w:lvl w:ilvl="0">
      <w:lvlJc w:val="left"/>
      <w:lvlText w:val="•"/>
      <w:numFmt w:val="bullet"/>
      <w:start w:val="1"/>
    </w:lvl>
  </w:abstractNum>
  <w:abstractNum w:abstractNumId="45">
    <w:nsid w:val="2AE05A34"/>
    <w:multiLevelType w:val="hybridMultilevel"/>
    <w:lvl w:ilvl="0">
      <w:lvlJc w:val="left"/>
      <w:lvlText w:val="•"/>
      <w:numFmt w:val="bullet"/>
      <w:start w:val="1"/>
    </w:lvl>
  </w:abstractNum>
  <w:abstractNum w:abstractNumId="46">
    <w:nsid w:val="32794FF7"/>
    <w:multiLevelType w:val="hybridMultilevel"/>
    <w:lvl w:ilvl="0">
      <w:lvlJc w:val="left"/>
      <w:lvlText w:val="•"/>
      <w:numFmt w:val="bullet"/>
      <w:start w:val="1"/>
    </w:lvl>
  </w:abstractNum>
  <w:abstractNum w:abstractNumId="47">
    <w:nsid w:val="5454945E"/>
    <w:multiLevelType w:val="hybridMultilevel"/>
    <w:lvl w:ilvl="0">
      <w:lvlJc w:val="left"/>
      <w:lvlText w:val="•"/>
      <w:numFmt w:val="bullet"/>
      <w:start w:val="1"/>
    </w:lvl>
  </w:abstractNum>
  <w:abstractNum w:abstractNumId="48">
    <w:nsid w:val="4DEFDFA0"/>
    <w:multiLevelType w:val="hybridMultilevel"/>
    <w:lvl w:ilvl="0">
      <w:lvlJc w:val="left"/>
      <w:lvlText w:val="•"/>
      <w:numFmt w:val="bullet"/>
      <w:start w:val="1"/>
    </w:lvl>
  </w:abstractNum>
  <w:abstractNum w:abstractNumId="49">
    <w:nsid w:val="2123D5F2"/>
    <w:multiLevelType w:val="hybridMultilevel"/>
    <w:lvl w:ilvl="0">
      <w:lvlJc w:val="left"/>
      <w:lvlText w:val="•"/>
      <w:numFmt w:val="bullet"/>
      <w:start w:val="1"/>
    </w:lvl>
  </w:abstractNum>
  <w:abstractNum w:abstractNumId="50">
    <w:nsid w:val="135B8110"/>
    <w:multiLevelType w:val="hybridMultilevel"/>
    <w:lvl w:ilvl="0">
      <w:lvlJc w:val="left"/>
      <w:lvlText w:val="•"/>
      <w:numFmt w:val="bullet"/>
      <w:start w:val="1"/>
    </w:lvl>
  </w:abstractNum>
  <w:abstractNum w:abstractNumId="51">
    <w:nsid w:val="94927A8"/>
    <w:multiLevelType w:val="hybridMultilevel"/>
    <w:lvl w:ilvl="0">
      <w:lvlJc w:val="left"/>
      <w:lvlText w:val="•"/>
      <w:numFmt w:val="bullet"/>
      <w:start w:val="1"/>
    </w:lvl>
  </w:abstractNum>
  <w:abstractNum w:abstractNumId="52">
    <w:nsid w:val="DCDF8F6"/>
    <w:multiLevelType w:val="hybridMultilevel"/>
    <w:lvl w:ilvl="0">
      <w:lvlJc w:val="left"/>
      <w:lvlText w:val="1"/>
      <w:numFmt w:val="bullet"/>
      <w:start w:val="1"/>
    </w:lvl>
  </w:abstractNum>
  <w:abstractNum w:abstractNumId="53">
    <w:nsid w:val="52D7B105"/>
    <w:multiLevelType w:val="hybridMultilevel"/>
    <w:lvl w:ilvl="0">
      <w:lvlJc w:val="left"/>
      <w:lvlText w:val="•"/>
      <w:numFmt w:val="bullet"/>
      <w:start w:val="1"/>
    </w:lvl>
  </w:abstractNum>
  <w:abstractNum w:abstractNumId="54">
    <w:nsid w:val="2E8A6394"/>
    <w:multiLevelType w:val="hybridMultilevel"/>
    <w:lvl w:ilvl="0">
      <w:lvlJc w:val="left"/>
      <w:lvlText w:val="•"/>
      <w:numFmt w:val="bullet"/>
      <w:start w:val="1"/>
    </w:lvl>
  </w:abstractNum>
  <w:abstractNum w:abstractNumId="55">
    <w:nsid w:val="24E60401"/>
    <w:multiLevelType w:val="hybridMultilevel"/>
    <w:lvl w:ilvl="0">
      <w:lvlJc w:val="left"/>
      <w:lvlText w:val="•"/>
      <w:numFmt w:val="bullet"/>
      <w:start w:val="1"/>
    </w:lvl>
  </w:abstractNum>
  <w:abstractNum w:abstractNumId="56">
    <w:nsid w:val="2A6AD9BE"/>
    <w:multiLevelType w:val="hybridMultilevel"/>
    <w:lvl w:ilvl="0">
      <w:lvlJc w:val="left"/>
      <w:lvlText w:val="•"/>
      <w:numFmt w:val="bullet"/>
      <w:start w:val="1"/>
    </w:lvl>
  </w:abstractNum>
  <w:abstractNum w:abstractNumId="57">
    <w:nsid w:val="BAAC1B4"/>
    <w:multiLevelType w:val="hybridMultilevel"/>
    <w:lvl w:ilvl="0">
      <w:lvlJc w:val="left"/>
      <w:lvlText w:val="•"/>
      <w:numFmt w:val="bullet"/>
      <w:start w:val="1"/>
    </w:lvl>
  </w:abstractNum>
  <w:abstractNum w:abstractNumId="58">
    <w:nsid w:val="36B2ACBC"/>
    <w:multiLevelType w:val="hybridMultilevel"/>
    <w:lvl w:ilvl="0">
      <w:lvlJc w:val="left"/>
      <w:lvlText w:val="•"/>
      <w:numFmt w:val="bullet"/>
      <w:start w:val="1"/>
    </w:lvl>
  </w:abstractNum>
  <w:abstractNum w:abstractNumId="59">
    <w:nsid w:val="779D8544"/>
    <w:multiLevelType w:val="hybridMultilevel"/>
    <w:lvl w:ilvl="0">
      <w:lvlJc w:val="left"/>
      <w:lvlText w:val="•"/>
      <w:numFmt w:val="bullet"/>
      <w:start w:val="1"/>
    </w:lvl>
  </w:abstractNum>
  <w:abstractNum w:abstractNumId="60">
    <w:nsid w:val="4AB26E78"/>
    <w:multiLevelType w:val="hybridMultilevel"/>
    <w:lvl w:ilvl="0">
      <w:lvlJc w:val="left"/>
      <w:lvlText w:val="•"/>
      <w:numFmt w:val="bullet"/>
      <w:start w:val="1"/>
    </w:lvl>
  </w:abstractNum>
  <w:abstractNum w:abstractNumId="61">
    <w:nsid w:val="21FAA2FA"/>
    <w:multiLevelType w:val="hybridMultilevel"/>
    <w:lvl w:ilvl="0">
      <w:lvlJc w:val="left"/>
      <w:lvlText w:val="•"/>
      <w:numFmt w:val="bullet"/>
      <w:start w:val="1"/>
    </w:lvl>
  </w:abstractNum>
  <w:abstractNum w:abstractNumId="62">
    <w:nsid w:val="5451CF49"/>
    <w:multiLevelType w:val="hybridMultilevel"/>
    <w:lvl w:ilvl="0">
      <w:lvlJc w:val="left"/>
      <w:lvlText w:val="•"/>
      <w:numFmt w:val="bullet"/>
      <w:start w:val="1"/>
    </w:lvl>
  </w:abstractNum>
  <w:abstractNum w:abstractNumId="63">
    <w:nsid w:val="6181EF69"/>
    <w:multiLevelType w:val="hybridMultilevel"/>
    <w:lvl w:ilvl="0">
      <w:lvlJc w:val="left"/>
      <w:lvlText w:val="1"/>
      <w:numFmt w:val="bullet"/>
      <w:start w:val="1"/>
    </w:lvl>
  </w:abstractNum>
  <w:abstractNum w:abstractNumId="64">
    <w:nsid w:val="3E6400E6"/>
    <w:multiLevelType w:val="hybridMultilevel"/>
    <w:lvl w:ilvl="0">
      <w:lvlJc w:val="left"/>
      <w:lvlText w:val="(%1)"/>
      <w:numFmt w:val="upperLetter"/>
      <w:start w:val="7"/>
    </w:lvl>
  </w:abstractNum>
  <w:abstractNum w:abstractNumId="65">
    <w:nsid w:val="14217E23"/>
    <w:multiLevelType w:val="hybridMultilevel"/>
    <w:lvl w:ilvl="0">
      <w:lvlJc w:val="left"/>
      <w:lvlText w:val="•"/>
      <w:numFmt w:val="bullet"/>
      <w:start w:val="1"/>
    </w:lvl>
  </w:abstractNum>
  <w:abstractNum w:abstractNumId="66">
    <w:nsid w:val="710757D0"/>
    <w:multiLevelType w:val="hybridMultilevel"/>
    <w:lvl w:ilvl="0">
      <w:lvlJc w:val="left"/>
      <w:lvlText w:val="•"/>
      <w:numFmt w:val="bullet"/>
      <w:start w:val="1"/>
    </w:lvl>
  </w:abstractNum>
  <w:abstractNum w:abstractNumId="67">
    <w:nsid w:val="5015CD1A"/>
    <w:multiLevelType w:val="hybridMultilevel"/>
    <w:lvl w:ilvl="0">
      <w:lvlJc w:val="left"/>
      <w:lvlText w:val="•"/>
      <w:numFmt w:val="bullet"/>
      <w:start w:val="1"/>
    </w:lvl>
  </w:abstractNum>
  <w:abstractNum w:abstractNumId="68">
    <w:nsid w:val="424479DA"/>
    <w:multiLevelType w:val="hybridMultilevel"/>
    <w:lvl w:ilvl="0">
      <w:lvlJc w:val="left"/>
      <w:lvlText w:val="•"/>
      <w:numFmt w:val="bullet"/>
      <w:start w:val="1"/>
    </w:lvl>
  </w:abstractNum>
  <w:abstractNum w:abstractNumId="69">
    <w:nsid w:val="1A9A9E69"/>
    <w:multiLevelType w:val="hybridMultilevel"/>
    <w:lvl w:ilvl="0">
      <w:lvlJc w:val="left"/>
      <w:lvlText w:val="•"/>
      <w:numFmt w:val="bullet"/>
      <w:start w:val="1"/>
    </w:lvl>
  </w:abstractNum>
  <w:abstractNum w:abstractNumId="70">
    <w:nsid w:val="475E256A"/>
    <w:multiLevelType w:val="hybridMultilevel"/>
    <w:lvl w:ilvl="0">
      <w:lvlJc w:val="left"/>
      <w:lvlText w:val="•"/>
      <w:numFmt w:val="bullet"/>
      <w:start w:val="1"/>
    </w:lvl>
  </w:abstractNum>
  <w:abstractNum w:abstractNumId="71">
    <w:nsid w:val="368DB37E"/>
    <w:multiLevelType w:val="hybridMultilevel"/>
    <w:lvl w:ilvl="0">
      <w:lvlJc w:val="left"/>
      <w:lvlText w:val="•"/>
      <w:numFmt w:val="bullet"/>
      <w:start w:val="1"/>
    </w:lvl>
  </w:abstractNum>
  <w:abstractNum w:abstractNumId="72">
    <w:nsid w:val="6A3B714C"/>
    <w:multiLevelType w:val="hybridMultilevel"/>
    <w:lvl w:ilvl="0">
      <w:lvlJc w:val="left"/>
      <w:lvlText w:val="•"/>
      <w:numFmt w:val="bullet"/>
      <w:start w:val="1"/>
    </w:lvl>
  </w:abstractNum>
  <w:abstractNum w:abstractNumId="73">
    <w:nsid w:val="327B517E"/>
    <w:multiLevelType w:val="hybridMultilevel"/>
    <w:lvl w:ilvl="0">
      <w:lvlJc w:val="left"/>
      <w:lvlText w:val="•"/>
      <w:numFmt w:val="bullet"/>
      <w:start w:val="1"/>
    </w:lvl>
  </w:abstractNum>
  <w:abstractNum w:abstractNumId="74">
    <w:nsid w:val="1F461B51"/>
    <w:multiLevelType w:val="hybridMultilevel"/>
    <w:lvl w:ilvl="0">
      <w:lvlJc w:val="left"/>
      <w:lvlText w:val="•"/>
      <w:numFmt w:val="bullet"/>
      <w:start w:val="1"/>
    </w:lvl>
  </w:abstractNum>
  <w:abstractNum w:abstractNumId="75">
    <w:nsid w:val="29BACF25"/>
    <w:multiLevelType w:val="hybridMultilevel"/>
    <w:lvl w:ilvl="0">
      <w:lvlJc w:val="left"/>
      <w:lvlText w:val="(%1)"/>
      <w:numFmt w:val="lowerRoman"/>
      <w:start w:val="2"/>
    </w:lvl>
  </w:abstractNum>
  <w:abstractNum w:abstractNumId="76">
    <w:nsid w:val="5D5BABB3"/>
    <w:multiLevelType w:val="hybridMultilevel"/>
    <w:lvl w:ilvl="0">
      <w:lvlJc w:val="left"/>
      <w:lvlText w:val="(%1)"/>
      <w:numFmt w:val="lowerRoman"/>
      <w:start w:val="2"/>
    </w:lvl>
  </w:abstractNum>
  <w:abstractNum w:abstractNumId="77">
    <w:nsid w:val="51BF6B48"/>
    <w:multiLevelType w:val="hybridMultilevel"/>
    <w:lvl w:ilvl="0">
      <w:lvlJc w:val="left"/>
      <w:lvlText w:val="(%1)"/>
      <w:numFmt w:val="lowerRoman"/>
      <w:start w:val="1"/>
    </w:lvl>
  </w:abstractNum>
  <w:abstractNum w:abstractNumId="78">
    <w:nsid w:val="7E0F6384"/>
    <w:multiLevelType w:val="hybridMultilevel"/>
    <w:lvl w:ilvl="0">
      <w:lvlJc w:val="left"/>
      <w:lvlText w:val="%1"/>
      <w:numFmt w:val="upperLetter"/>
      <w:start w:val="35"/>
    </w:lvl>
  </w:abstractNum>
  <w:abstractNum w:abstractNumId="79">
    <w:nsid w:val="2B4B8B53"/>
    <w:multiLevelType w:val="hybridMultilevel"/>
    <w:lvl w:ilvl="0">
      <w:lvlJc w:val="left"/>
      <w:lvlText w:val="•"/>
      <w:numFmt w:val="bullet"/>
      <w:start w:val="1"/>
    </w:lvl>
  </w:abstractNum>
  <w:abstractNum w:abstractNumId="80">
    <w:nsid w:val="72E3413A"/>
    <w:multiLevelType w:val="hybridMultilevel"/>
    <w:lvl w:ilvl="0">
      <w:lvlJc w:val="left"/>
      <w:lvlText w:val="(%1)"/>
      <w:numFmt w:val="decimal"/>
      <w:start w:val="1"/>
    </w:lvl>
  </w:abstractNum>
  <w:abstractNum w:abstractNumId="81">
    <w:nsid w:val="116AE494"/>
    <w:multiLevelType w:val="hybridMultilevel"/>
    <w:lvl w:ilvl="0">
      <w:lvlJc w:val="left"/>
      <w:lvlText w:val="•"/>
      <w:numFmt w:val="bullet"/>
      <w:start w:val="1"/>
    </w:lvl>
  </w:abstractNum>
  <w:abstractNum w:abstractNumId="82">
    <w:nsid w:val="3494B2FB"/>
    <w:multiLevelType w:val="hybridMultilevel"/>
    <w:lvl w:ilvl="0">
      <w:lvlJc w:val="left"/>
      <w:lvlText w:val="•"/>
      <w:numFmt w:val="bullet"/>
      <w:start w:val="1"/>
    </w:lvl>
  </w:abstractNum>
  <w:abstractNum w:abstractNumId="83">
    <w:nsid w:val="B13A31"/>
    <w:multiLevelType w:val="hybridMultilevel"/>
    <w:lvl w:ilvl="0">
      <w:lvlJc w:val="left"/>
      <w:lvlText w:val="•"/>
      <w:numFmt w:val="bullet"/>
      <w:start w:val="1"/>
    </w:lvl>
  </w:abstractNum>
  <w:abstractNum w:abstractNumId="84">
    <w:nsid w:val="64429599"/>
    <w:multiLevelType w:val="hybridMultilevel"/>
    <w:lvl w:ilvl="0">
      <w:lvlJc w:val="left"/>
      <w:lvlText w:val="•"/>
      <w:numFmt w:val="bullet"/>
      <w:start w:val="1"/>
    </w:lvl>
  </w:abstractNum>
  <w:abstractNum w:abstractNumId="85">
    <w:nsid w:val="631F1690"/>
    <w:multiLevelType w:val="hybridMultilevel"/>
    <w:lvl w:ilvl="0">
      <w:lvlJc w:val="left"/>
      <w:lvlText w:val="•"/>
      <w:numFmt w:val="bullet"/>
      <w:start w:val="1"/>
    </w:lvl>
  </w:abstractNum>
  <w:abstractNum w:abstractNumId="86">
    <w:nsid w:val="25973E32"/>
    <w:multiLevelType w:val="hybridMultilevel"/>
    <w:lvl w:ilvl="0">
      <w:lvlJc w:val="left"/>
      <w:lvlText w:val="(%1)"/>
      <w:numFmt w:val="decimal"/>
      <w:start w:val="1"/>
    </w:lvl>
  </w:abstractNum>
  <w:abstractNum w:abstractNumId="87">
    <w:nsid w:val="EAD6F57"/>
    <w:multiLevelType w:val="hybridMultilevel"/>
    <w:lvl w:ilvl="0">
      <w:lvlJc w:val="left"/>
      <w:lvlText w:val="•"/>
      <w:numFmt w:val="bullet"/>
      <w:start w:val="1"/>
    </w:lvl>
  </w:abstractNum>
  <w:abstractNum w:abstractNumId="88">
    <w:nsid w:val="6EC9D844"/>
    <w:multiLevelType w:val="hybridMultilevel"/>
    <w:lvl w:ilvl="0">
      <w:lvlJc w:val="left"/>
      <w:lvlText w:val="(%1)"/>
      <w:numFmt w:val="decimal"/>
      <w:start w:val="1"/>
    </w:lvl>
  </w:abstractNum>
  <w:abstractNum w:abstractNumId="89">
    <w:nsid w:val="5C49EAEE"/>
    <w:multiLevelType w:val="hybridMultilevel"/>
    <w:lvl w:ilvl="0">
      <w:lvlJc w:val="left"/>
      <w:lvlText w:val="(%1)"/>
      <w:numFmt w:val="decimal"/>
      <w:start w:val="1"/>
    </w:lvl>
  </w:abstractNum>
  <w:abstractNum w:abstractNumId="90">
    <w:nsid w:val="64AF49B"/>
    <w:multiLevelType w:val="hybridMultilevel"/>
    <w:lvl w:ilvl="0">
      <w:lvlJc w:val="left"/>
      <w:lvlText w:val="•"/>
      <w:numFmt w:val="bullet"/>
      <w:start w:val="1"/>
    </w:lvl>
  </w:abstractNum>
  <w:abstractNum w:abstractNumId="91">
    <w:nsid w:val="397C46BC"/>
    <w:multiLevelType w:val="hybridMultilevel"/>
    <w:lvl w:ilvl="0">
      <w:lvlJc w:val="left"/>
      <w:lvlText w:val="(%1)"/>
      <w:numFmt w:val="decimal"/>
      <w:start w:val="1"/>
    </w:lvl>
  </w:abstractNum>
  <w:abstractNum w:abstractNumId="92">
    <w:nsid w:val="7E448DE9"/>
    <w:multiLevelType w:val="hybridMultilevel"/>
    <w:lvl w:ilvl="0">
      <w:lvlJc w:val="left"/>
      <w:lvlText w:val="(%1)"/>
      <w:numFmt w:val="decimal"/>
      <w:start w:val="1"/>
    </w:lvl>
  </w:abstractNum>
  <w:abstractNum w:abstractNumId="93">
    <w:nsid w:val="5A9CC3E5"/>
    <w:multiLevelType w:val="hybridMultilevel"/>
    <w:lvl w:ilvl="0">
      <w:lvlJc w:val="left"/>
      <w:lvlText w:val="(%1)"/>
      <w:numFmt w:val="decimal"/>
      <w:start w:val="6"/>
    </w:lvl>
  </w:abstractNum>
  <w:abstractNum w:abstractNumId="94">
    <w:nsid w:val="1AFE3625"/>
    <w:multiLevelType w:val="hybridMultilevel"/>
    <w:lvl w:ilvl="0">
      <w:lvlJc w:val="left"/>
      <w:lvlText w:val="•"/>
      <w:numFmt w:val="bullet"/>
      <w:start w:val="1"/>
    </w:lvl>
    <w:lvl w:ilvl="1">
      <w:lvlJc w:val="left"/>
      <w:lvlText w:val="•"/>
      <w:numFmt w:val="bullet"/>
      <w:start w:val="1"/>
    </w:lvl>
  </w:abstractNum>
  <w:abstractNum w:abstractNumId="95">
    <w:nsid w:val="3CA88ECF"/>
    <w:multiLevelType w:val="hybridMultilevel"/>
    <w:lvl w:ilvl="0">
      <w:lvlJc w:val="left"/>
      <w:lvlText w:val="(%1)"/>
      <w:numFmt w:val="decimal"/>
      <w:start w:val="1"/>
    </w:lvl>
  </w:abstractNum>
  <w:abstractNum w:abstractNumId="96">
    <w:nsid w:val="6EBE4208"/>
    <w:multiLevelType w:val="hybridMultilevel"/>
    <w:lvl w:ilvl="0">
      <w:lvlJc w:val="left"/>
      <w:lvlText w:val="(%1)"/>
      <w:numFmt w:val="decimal"/>
      <w:start w:val="1"/>
    </w:lvl>
  </w:abstractNum>
  <w:abstractNum w:abstractNumId="97">
    <w:nsid w:val="C058DF5"/>
    <w:multiLevelType w:val="hybridMultilevel"/>
    <w:lvl w:ilvl="0">
      <w:lvlJc w:val="left"/>
      <w:lvlText w:val="(%1)"/>
      <w:numFmt w:val="decimal"/>
      <w:start w:val="1"/>
    </w:lvl>
  </w:abstractNum>
  <w:abstractNum w:abstractNumId="98">
    <w:nsid w:val="CBE5BE9"/>
    <w:multiLevelType w:val="hybridMultilevel"/>
    <w:lvl w:ilvl="0">
      <w:lvlJc w:val="left"/>
      <w:lvlText w:val="(%1)"/>
      <w:numFmt w:val="decimal"/>
      <w:start w:val="1"/>
    </w:lvl>
  </w:abstractNum>
  <w:abstractNum w:abstractNumId="99">
    <w:nsid w:val="3102BBE2"/>
    <w:multiLevelType w:val="hybridMultilevel"/>
    <w:lvl w:ilvl="0">
      <w:lvlJc w:val="left"/>
      <w:lvlText w:val="(%1)"/>
      <w:numFmt w:val="decimal"/>
      <w:start w:val="1"/>
    </w:lvl>
  </w:abstractNum>
  <w:abstractNum w:abstractNumId="100">
    <w:nsid w:val="26A02C5E"/>
    <w:multiLevelType w:val="hybridMultilevel"/>
    <w:lvl w:ilvl="0">
      <w:lvlJc w:val="left"/>
      <w:lvlText w:val="(%1)"/>
      <w:numFmt w:val="decimal"/>
      <w:start w:val="1"/>
    </w:lvl>
    <w:lvl w:ilvl="1">
      <w:lvlJc w:val="left"/>
      <w:lvlText w:val="%2."/>
      <w:numFmt w:val="upperLetter"/>
      <w:start w:val="35"/>
    </w:lvl>
  </w:abstractNum>
  <w:abstractNum w:abstractNumId="101">
    <w:nsid w:val="541C8153"/>
    <w:multiLevelType w:val="hybridMultilevel"/>
    <w:lvl w:ilvl="0">
      <w:lvlJc w:val="left"/>
      <w:lvlText w:val="%1"/>
      <w:numFmt w:val="decimal"/>
      <w:start w:val="1"/>
    </w:lvl>
    <w:lvl w:ilvl="1">
      <w:lvlJc w:val="left"/>
      <w:lvlText w:val="%2."/>
      <w:numFmt w:val="upperLetter"/>
      <w:start w:val="8"/>
    </w:lvl>
  </w:abstractNum>
  <w:abstractNum w:abstractNumId="102">
    <w:nsid w:val="67906F60"/>
    <w:multiLevelType w:val="hybridMultilevel"/>
    <w:lvl w:ilvl="0">
      <w:lvlJc w:val="left"/>
      <w:lvlText w:val="(%1)"/>
      <w:numFmt w:val="decimal"/>
      <w:start w:val="3"/>
    </w:lvl>
    <w:lvl w:ilvl="1">
      <w:lvlJc w:val="left"/>
      <w:lvlText w:val="%2"/>
      <w:numFmt w:val="upperLetter"/>
      <w:start w:val="1"/>
    </w:lvl>
  </w:abstractNum>
  <w:abstractNum w:abstractNumId="103">
    <w:nsid w:val="10DB9DAA"/>
    <w:multiLevelType w:val="hybridMultilevel"/>
    <w:lvl w:ilvl="0">
      <w:lvlJc w:val="left"/>
      <w:lvlText w:val="(%1)"/>
      <w:numFmt w:val="decimal"/>
      <w:start w:val="5"/>
    </w:lvl>
  </w:abstractNum>
  <w:abstractNum w:abstractNumId="104">
    <w:nsid w:val="697D2D2"/>
    <w:multiLevelType w:val="hybridMultilevel"/>
    <w:lvl w:ilvl="0">
      <w:lvlJc w:val="left"/>
      <w:lvlText w:val="(%1)"/>
      <w:numFmt w:val="decimal"/>
      <w:start w:val="10"/>
    </w:lvl>
  </w:abstractNum>
  <w:abstractNum w:abstractNumId="105">
    <w:nsid w:val="6D68AB2"/>
    <w:multiLevelType w:val="hybridMultilevel"/>
    <w:lvl w:ilvl="0">
      <w:lvlJc w:val="left"/>
      <w:lvlText w:val="*"/>
      <w:numFmt w:val="bullet"/>
      <w:start w:val="1"/>
    </w:lvl>
  </w:abstractNum>
  <w:abstractNum w:abstractNumId="106">
    <w:nsid w:val="3A966CD0"/>
    <w:multiLevelType w:val="hybridMultilevel"/>
    <w:lvl w:ilvl="0">
      <w:lvlJc w:val="left"/>
      <w:lvlText w:val="(%1)"/>
      <w:numFmt w:val="decimal"/>
      <w:start w:val="1"/>
    </w:lvl>
  </w:abstractNum>
  <w:abstractNum w:abstractNumId="107">
    <w:nsid w:val="63F37E85"/>
    <w:multiLevelType w:val="hybridMultilevel"/>
    <w:lvl w:ilvl="0">
      <w:lvlJc w:val="left"/>
      <w:lvlText w:val="(%1)"/>
      <w:numFmt w:val="decimal"/>
      <w:start w:val="4"/>
    </w:lvl>
  </w:abstractNum>
  <w:abstractNum w:abstractNumId="108">
    <w:nsid w:val="5895F5FA"/>
    <w:multiLevelType w:val="hybridMultilevel"/>
    <w:lvl w:ilvl="0">
      <w:lvlJc w:val="left"/>
      <w:lvlText w:val="(%1)"/>
      <w:numFmt w:val="decimal"/>
      <w:start w:val="8"/>
    </w:lvl>
  </w:abstractNum>
  <w:abstractNum w:abstractNumId="109">
    <w:nsid w:val="38A5D054"/>
    <w:multiLevelType w:val="hybridMultilevel"/>
    <w:lvl w:ilvl="0">
      <w:lvlJc w:val="left"/>
      <w:lvlText w:val="(%1)"/>
      <w:numFmt w:val="decimal"/>
      <w:start w:val="12"/>
    </w:lvl>
  </w:abstractNum>
  <w:abstractNum w:abstractNumId="110">
    <w:nsid w:val="F3F09D8"/>
    <w:multiLevelType w:val="hybridMultilevel"/>
    <w:lvl w:ilvl="0">
      <w:lvlJc w:val="left"/>
      <w:lvlText w:val="(%1)"/>
      <w:numFmt w:val="decimal"/>
      <w:start w:val="2"/>
    </w:lvl>
  </w:abstractNum>
  <w:abstractNum w:abstractNumId="111">
    <w:nsid w:val="4B793735"/>
    <w:multiLevelType w:val="hybridMultilevel"/>
    <w:lvl w:ilvl="0">
      <w:lvlJc w:val="left"/>
      <w:lvlText w:val="•"/>
      <w:numFmt w:val="bullet"/>
      <w:start w:val="1"/>
    </w:lvl>
  </w:abstractNum>
  <w:abstractNum w:abstractNumId="112">
    <w:nsid w:val="4A10B4E8"/>
    <w:multiLevelType w:val="hybridMultilevel"/>
    <w:lvl w:ilvl="0">
      <w:lvlJc w:val="left"/>
      <w:lvlText w:val="•"/>
      <w:numFmt w:val="bullet"/>
      <w:start w:val="1"/>
    </w:lvl>
  </w:abstractNum>
  <w:abstractNum w:abstractNumId="113">
    <w:nsid w:val="43D3BCD4"/>
    <w:multiLevelType w:val="hybridMultilevel"/>
    <w:lvl w:ilvl="0">
      <w:lvlJc w:val="left"/>
      <w:lvlText w:val="•"/>
      <w:numFmt w:val="bullet"/>
      <w:start w:val="1"/>
    </w:lvl>
  </w:abstractNum>
  <w:abstractNum w:abstractNumId="114">
    <w:nsid w:val="4C2A7166"/>
    <w:multiLevelType w:val="hybridMultilevel"/>
    <w:lvl w:ilvl="0">
      <w:lvlJc w:val="left"/>
      <w:lvlText w:val="•"/>
      <w:numFmt w:val="bullet"/>
      <w:start w:val="1"/>
    </w:lvl>
  </w:abstractNum>
  <w:abstractNum w:abstractNumId="115">
    <w:nsid w:val="2E534A82"/>
    <w:multiLevelType w:val="hybridMultilevel"/>
    <w:lvl w:ilvl="0">
      <w:lvlJc w:val="left"/>
      <w:lvlText w:val="•"/>
      <w:numFmt w:val="bullet"/>
      <w:start w:val="1"/>
    </w:lvl>
  </w:abstractNum>
  <w:abstractNum w:abstractNumId="116">
    <w:nsid w:val="26F2D364"/>
    <w:multiLevelType w:val="hybridMultilevel"/>
    <w:lvl w:ilvl="0">
      <w:lvlJc w:val="left"/>
      <w:lvlText w:val="(%1)"/>
      <w:numFmt w:val="lowerRoman"/>
      <w:start w:val="2"/>
    </w:lvl>
  </w:abstractNum>
  <w:abstractNum w:abstractNumId="117">
    <w:nsid w:val="71C1AF98"/>
    <w:multiLevelType w:val="hybridMultilevel"/>
    <w:lvl w:ilvl="0">
      <w:lvlJc w:val="left"/>
      <w:lvlText w:val="(%1)"/>
      <w:numFmt w:val="lowerRoman"/>
      <w:start w:val="1"/>
    </w:lvl>
  </w:abstractNum>
  <w:abstractNum w:abstractNumId="118">
    <w:nsid w:val="3D00B9D9"/>
    <w:multiLevelType w:val="hybridMultilevel"/>
    <w:lvl w:ilvl="0">
      <w:lvlJc w:val="left"/>
      <w:lvlText w:val="(%1)"/>
      <w:numFmt w:val="decimal"/>
      <w:start w:val="1"/>
    </w:lvl>
  </w:abstractNum>
  <w:abstractNum w:abstractNumId="119">
    <w:nsid w:val="15BCABA8"/>
    <w:multiLevelType w:val="hybridMultilevel"/>
    <w:lvl w:ilvl="0">
      <w:lvlJc w:val="left"/>
      <w:lvlText w:val="%1)"/>
      <w:numFmt w:val="lowerLetter"/>
      <w:start w:val="1"/>
    </w:lvl>
  </w:abstractNum>
  <w:abstractNum w:abstractNumId="120">
    <w:nsid w:val="4E0B9A87"/>
    <w:multiLevelType w:val="hybridMultilevel"/>
    <w:lvl w:ilvl="0">
      <w:lvlJc w:val="left"/>
      <w:lvlText w:val="•"/>
      <w:numFmt w:val="bullet"/>
      <w:start w:val="1"/>
    </w:lvl>
  </w:abstractNum>
  <w:abstractNum w:abstractNumId="121">
    <w:nsid w:val="434BAE75"/>
    <w:multiLevelType w:val="hybridMultilevel"/>
    <w:lvl w:ilvl="0">
      <w:lvlJc w:val="left"/>
      <w:lvlText w:val="•"/>
      <w:numFmt w:val="bullet"/>
      <w:start w:val="1"/>
    </w:lvl>
  </w:abstractNum>
  <w:abstractNum w:abstractNumId="122">
    <w:nsid w:val="4F38F265"/>
    <w:multiLevelType w:val="hybridMultilevel"/>
    <w:lvl w:ilvl="0">
      <w:lvlJc w:val="left"/>
      <w:lvlText w:val="•"/>
      <w:numFmt w:val="bullet"/>
      <w:start w:val="1"/>
    </w:lvl>
  </w:abstractNum>
  <w:abstractNum w:abstractNumId="123">
    <w:nsid w:val="4C502870"/>
    <w:multiLevelType w:val="hybridMultilevel"/>
    <w:lvl w:ilvl="0">
      <w:lvlJc w:val="left"/>
      <w:lvlText w:val="$"/>
      <w:numFmt w:val="bullet"/>
      <w:start w:val="1"/>
    </w:lvl>
  </w:abstractNum>
  <w:abstractNum w:abstractNumId="124">
    <w:nsid w:val="1DE8725A"/>
    <w:multiLevelType w:val="hybridMultilevel"/>
    <w:lvl w:ilvl="0">
      <w:lvlJc w:val="left"/>
      <w:lvlText w:val="$"/>
      <w:numFmt w:val="bullet"/>
      <w:start w:val="1"/>
    </w:lvl>
  </w:abstractNum>
  <w:abstractNum w:abstractNumId="125">
    <w:nsid w:val="6A37288A"/>
    <w:multiLevelType w:val="hybridMultilevel"/>
    <w:lvl w:ilvl="0">
      <w:lvlJc w:val="left"/>
      <w:lvlText w:val="$"/>
      <w:numFmt w:val="bullet"/>
      <w:start w:val="1"/>
    </w:lvl>
  </w:abstractNum>
  <w:abstractNum w:abstractNumId="126">
    <w:nsid w:val="8F8B73F"/>
    <w:multiLevelType w:val="hybridMultilevel"/>
    <w:lvl w:ilvl="0">
      <w:lvlJc w:val="left"/>
      <w:lvlText w:val="$"/>
      <w:numFmt w:val="bullet"/>
      <w:start w:val="1"/>
    </w:lvl>
  </w:abstractNum>
  <w:abstractNum w:abstractNumId="127">
    <w:nsid w:val="CA6B462"/>
    <w:multiLevelType w:val="hybridMultilevel"/>
    <w:lvl w:ilvl="0">
      <w:lvlJc w:val="left"/>
      <w:lvlText w:val="•"/>
      <w:numFmt w:val="bullet"/>
      <w:start w:val="1"/>
    </w:lvl>
  </w:abstractNum>
  <w:abstractNum w:abstractNumId="128">
    <w:nsid w:val="763CB680"/>
    <w:multiLevelType w:val="hybridMultilevel"/>
    <w:lvl w:ilvl="0">
      <w:lvlJc w:val="left"/>
      <w:lvlText w:val="•"/>
      <w:numFmt w:val="bullet"/>
      <w:start w:val="1"/>
    </w:lvl>
  </w:abstractNum>
  <w:abstractNum w:abstractNumId="129">
    <w:nsid w:val="15B71329"/>
    <w:multiLevelType w:val="hybridMultilevel"/>
    <w:lvl w:ilvl="0">
      <w:lvlJc w:val="left"/>
      <w:lvlText w:val="*"/>
      <w:numFmt w:val="bullet"/>
      <w:start w:val="1"/>
    </w:lvl>
  </w:abstractNum>
  <w:abstractNum w:abstractNumId="130">
    <w:nsid w:val="3DA9704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1">
    <w:nsid w:val="1CDCE2DE"/>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132">
    <w:nsid w:val="69D3947C"/>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3">
    <w:nsid w:val="2539DFA5"/>
    <w:multiLevelType w:val="hybridMultilevel"/>
    <w:lvl w:ilvl="0">
      <w:lvlJc w:val="left"/>
      <w:lvlText w:val="(%1)"/>
      <w:numFmt w:val="lowerRoman"/>
      <w:start w:val="2"/>
    </w:lvl>
  </w:abstractNum>
  <w:abstractNum w:abstractNumId="134">
    <w:nsid w:val="2DB88089"/>
    <w:multiLevelType w:val="hybridMultilevel"/>
    <w:lvl w:ilvl="0">
      <w:lvlJc w:val="left"/>
      <w:lvlText w:val="(%1)"/>
      <w:numFmt w:val="lowerLetter"/>
      <w:start w:val="1"/>
    </w:lvl>
    <w:lvl w:ilvl="1">
      <w:lvlJc w:val="left"/>
      <w:lvlText w:val="(%2)"/>
      <w:numFmt w:val="lowerRoman"/>
      <w:start w:val="1"/>
    </w:lvl>
  </w:abstractNum>
  <w:abstractNum w:abstractNumId="135">
    <w:nsid w:val="706B674E"/>
    <w:multiLevelType w:val="hybridMultilevel"/>
    <w:lvl w:ilvl="0">
      <w:lvlJc w:val="left"/>
      <w:lvlText w:val="(%1)"/>
      <w:numFmt w:val="lowerLetter"/>
      <w:start w:val="3"/>
    </w:lvl>
  </w:abstractNum>
  <w:abstractNum w:abstractNumId="136">
    <w:nsid w:val="2C106A57"/>
    <w:multiLevelType w:val="hybridMultilevel"/>
    <w:lvl w:ilvl="0">
      <w:lvlJc w:val="left"/>
      <w:lvlText w:val="(%1)"/>
      <w:numFmt w:val="lowerLetter"/>
      <w:start w:val="1"/>
    </w:lvl>
  </w:abstractNum>
  <w:abstractNum w:abstractNumId="137">
    <w:nsid w:val="684EED59"/>
    <w:multiLevelType w:val="hybridMultilevel"/>
    <w:lvl w:ilvl="0">
      <w:lvlJc w:val="left"/>
      <w:lvlText w:val="(%1)"/>
      <w:numFmt w:val="lowerLetter"/>
      <w:start w:val="3"/>
    </w:lvl>
  </w:abstractNum>
  <w:abstractNum w:abstractNumId="138">
    <w:nsid w:val="545EE5D3"/>
    <w:multiLevelType w:val="hybridMultilevel"/>
    <w:lvl w:ilvl="0">
      <w:lvlJc w:val="left"/>
      <w:lvlText w:val="(%1)"/>
      <w:numFmt w:val="lowerLetter"/>
      <w:start w:val="1"/>
    </w:lvl>
  </w:abstractNum>
  <w:abstractNum w:abstractNumId="139">
    <w:nsid w:val="4A66051"/>
    <w:multiLevelType w:val="hybridMultilevel"/>
    <w:lvl w:ilvl="0">
      <w:lvlJc w:val="left"/>
      <w:lvlText w:val="(%1)"/>
      <w:numFmt w:val="lowerLetter"/>
      <w:start w:val="2"/>
    </w:lvl>
  </w:abstractNum>
  <w:abstractNum w:abstractNumId="140">
    <w:nsid w:val="20F4BDAD"/>
    <w:multiLevelType w:val="hybridMultilevel"/>
    <w:lvl w:ilvl="0">
      <w:lvlJc w:val="left"/>
      <w:lvlText w:val="(%1)"/>
      <w:numFmt w:val="lowerLetter"/>
      <w:start w:val="4"/>
    </w:lvl>
    <w:lvl w:ilvl="1">
      <w:lvlJc w:val="left"/>
      <w:lvlText w:val="(%2)"/>
      <w:numFmt w:val="lowerRoman"/>
      <w:start w:val="1"/>
    </w:lvl>
  </w:abstractNum>
  <w:abstractNum w:abstractNumId="141">
    <w:nsid w:val="639DEFAC"/>
    <w:multiLevelType w:val="hybridMultilevel"/>
    <w:lvl w:ilvl="0">
      <w:lvlJc w:val="left"/>
      <w:lvlText w:val="(%1)"/>
      <w:numFmt w:val="lowerLetter"/>
      <w:start w:val="6"/>
    </w:lvl>
  </w:abstractNum>
  <w:abstractNum w:abstractNumId="142">
    <w:nsid w:val="501F9786"/>
    <w:multiLevelType w:val="hybridMultilevel"/>
    <w:lvl w:ilvl="0">
      <w:lvlJc w:val="left"/>
      <w:lvlText w:val="(%1)"/>
      <w:numFmt w:val="lowerLetter"/>
      <w:start w:val="1"/>
    </w:lvl>
  </w:abstractNum>
  <w:abstractNum w:abstractNumId="143">
    <w:nsid w:val="6B057295"/>
    <w:multiLevelType w:val="hybridMultilevel"/>
    <w:lvl w:ilvl="0">
      <w:lvlJc w:val="left"/>
      <w:lvlText w:val="(%1)"/>
      <w:numFmt w:val="lowerLetter"/>
      <w:start w:val="1"/>
    </w:lvl>
  </w:abstractNum>
  <w:abstractNum w:abstractNumId="144">
    <w:nsid w:val="2771AC80"/>
    <w:multiLevelType w:val="hybridMultilevel"/>
    <w:lvl w:ilvl="0">
      <w:lvlJc w:val="left"/>
      <w:lvlText w:val="(%1)"/>
      <w:numFmt w:val="lowerLetter"/>
      <w:start w:val="2"/>
    </w:lvl>
  </w:abstractNum>
  <w:abstractNum w:abstractNumId="145">
    <w:nsid w:val="1C4A08EC"/>
    <w:multiLevelType w:val="hybridMultilevel"/>
    <w:lvl w:ilvl="0">
      <w:lvlJc w:val="left"/>
      <w:lvlText w:val="(%1)"/>
      <w:numFmt w:val="lowerLetter"/>
      <w:start w:val="1"/>
    </w:lvl>
  </w:abstractNum>
  <w:abstractNum w:abstractNumId="146">
    <w:nsid w:val="1958BD17"/>
    <w:multiLevelType w:val="hybridMultilevel"/>
    <w:lvl w:ilvl="0">
      <w:lvlJc w:val="left"/>
      <w:lvlText w:val="(%1)"/>
      <w:numFmt w:val="lowerLetter"/>
      <w:start w:val="2"/>
    </w:lvl>
  </w:abstractNum>
  <w:abstractNum w:abstractNumId="147">
    <w:nsid w:val="4E647FE4"/>
    <w:multiLevelType w:val="hybridMultilevel"/>
    <w:lvl w:ilvl="0">
      <w:lvlJc w:val="left"/>
      <w:lvlText w:val="(%1)"/>
      <w:numFmt w:val="lowerLetter"/>
      <w:start w:val="1"/>
    </w:lvl>
  </w:abstractNum>
  <w:abstractNum w:abstractNumId="148">
    <w:nsid w:val="E0BB885"/>
    <w:multiLevelType w:val="hybridMultilevel"/>
    <w:lvl w:ilvl="0">
      <w:lvlJc w:val="left"/>
      <w:lvlText w:val="(%1)"/>
      <w:numFmt w:val="lowerLetter"/>
      <w:start w:val="1"/>
    </w:lvl>
  </w:abstractNum>
  <w:abstractNum w:abstractNumId="149">
    <w:nsid w:val="565976F1"/>
    <w:multiLevelType w:val="hybridMultilevel"/>
    <w:lvl w:ilvl="0">
      <w:lvlJc w:val="left"/>
      <w:lvlText w:val="(%1)"/>
      <w:numFmt w:val="lowerLetter"/>
      <w:start w:val="3"/>
    </w:lvl>
  </w:abstractNum>
  <w:abstractNum w:abstractNumId="150">
    <w:nsid w:val="64212B8C"/>
    <w:multiLevelType w:val="hybridMultilevel"/>
    <w:lvl w:ilvl="0">
      <w:lvlJc w:val="left"/>
      <w:lvlText w:val="(%1)"/>
      <w:numFmt w:val="lowerLetter"/>
      <w:start w:val="1"/>
    </w:lvl>
  </w:abstractNum>
  <w:abstractNum w:abstractNumId="151">
    <w:nsid w:val="5C17530C"/>
    <w:multiLevelType w:val="hybridMultilevel"/>
    <w:lvl w:ilvl="0">
      <w:lvlJc w:val="left"/>
      <w:lvlText w:val="(%1)"/>
      <w:numFmt w:val="lowerLetter"/>
      <w:start w:val="1"/>
    </w:lvl>
    <w:lvl w:ilvl="1">
      <w:lvlJc w:val="left"/>
      <w:lvlText w:val="(%2)"/>
      <w:numFmt w:val="lowerRoman"/>
      <w:start w:val="1"/>
    </w:lvl>
  </w:abstractNum>
  <w:abstractNum w:abstractNumId="152">
    <w:nsid w:val="19A52566"/>
    <w:multiLevelType w:val="hybridMultilevel"/>
    <w:lvl w:ilvl="0">
      <w:lvlJc w:val="left"/>
      <w:lvlText w:val="(%1)"/>
      <w:numFmt w:val="lowerLetter"/>
      <w:start w:val="1"/>
    </w:lvl>
  </w:abstractNum>
  <w:abstractNum w:abstractNumId="153">
    <w:nsid w:val="335A1DF1"/>
    <w:multiLevelType w:val="hybridMultilevel"/>
    <w:lvl w:ilvl="0">
      <w:lvlJc w:val="left"/>
      <w:lvlText w:val="(%1)"/>
      <w:numFmt w:val="lowerLetter"/>
      <w:start w:val="3"/>
    </w:lvl>
  </w:abstractNum>
  <w:abstractNum w:abstractNumId="154">
    <w:nsid w:val="28677B7C"/>
    <w:multiLevelType w:val="hybridMultilevel"/>
    <w:lvl w:ilvl="0">
      <w:lvlJc w:val="left"/>
      <w:lvlText w:val="%1."/>
      <w:numFmt w:val="decimal"/>
      <w:start w:val="1"/>
    </w:lvl>
  </w:abstractNum>
  <w:abstractNum w:abstractNumId="155">
    <w:nsid w:val="378D97C0"/>
    <w:multiLevelType w:val="hybridMultilevel"/>
    <w:lvl w:ilvl="0">
      <w:lvlJc w:val="left"/>
      <w:lvlText w:val="("/>
      <w:numFmt w:val="bullet"/>
      <w:start w:val="1"/>
    </w:lvl>
  </w:abstractNum>
  <w:abstractNum w:abstractNumId="156">
    <w:nsid w:val="1D91467C"/>
    <w:multiLevelType w:val="hybridMultilevel"/>
    <w:lvl w:ilvl="0">
      <w:lvlJc w:val="left"/>
      <w:lvlText w:val="%1."/>
      <w:numFmt w:val="decimal"/>
      <w:start w:val="2"/>
    </w:lvl>
    <w:lvl w:ilvl="1">
      <w:lvlJc w:val="left"/>
      <w:lvlText w:val="(%2)"/>
      <w:numFmt w:val="lowerLetter"/>
      <w:start w:val="1"/>
    </w:lvl>
  </w:abstractNum>
  <w:abstractNum w:abstractNumId="157">
    <w:nsid w:val="316032BB"/>
    <w:multiLevelType w:val="hybridMultilevel"/>
    <w:lvl w:ilvl="0">
      <w:lvlJc w:val="left"/>
      <w:lvlText w:val="(%1)"/>
      <w:numFmt w:val="lowerLetter"/>
      <w:start w:val="2"/>
    </w:lvl>
  </w:abstractNum>
  <w:abstractNum w:abstractNumId="158">
    <w:nsid w:val="44344C22"/>
    <w:multiLevelType w:val="hybridMultilevel"/>
    <w:lvl w:ilvl="0">
      <w:lvlJc w:val="left"/>
      <w:lvlText w:val="%1."/>
      <w:numFmt w:val="decimal"/>
      <w:start w:val="3"/>
    </w:lvl>
    <w:lvl w:ilvl="1">
      <w:lvlJc w:val="left"/>
      <w:lvlText w:val="(%2)"/>
      <w:numFmt w:val="lowerLetter"/>
      <w:start w:val="1"/>
    </w:lvl>
  </w:abstractNum>
  <w:abstractNum w:abstractNumId="159">
    <w:nsid w:val="13CDFCFC"/>
    <w:multiLevelType w:val="hybridMultilevel"/>
    <w:lvl w:ilvl="0">
      <w:lvlJc w:val="left"/>
      <w:lvlText w:val="%1."/>
      <w:numFmt w:val="decimal"/>
      <w:start w:val="4"/>
    </w:lvl>
  </w:abstractNum>
  <w:abstractNum w:abstractNumId="160">
    <w:nsid w:val="471745E4"/>
    <w:multiLevelType w:val="hybridMultilevel"/>
    <w:lvl w:ilvl="0">
      <w:lvlJc w:val="left"/>
      <w:lvlText w:val="%1."/>
      <w:numFmt w:val="decimal"/>
      <w:start w:val="9"/>
    </w:lvl>
  </w:abstractNum>
  <w:abstractNum w:abstractNumId="161">
    <w:nsid w:val="1DDBC66"/>
    <w:multiLevelType w:val="hybridMultilevel"/>
    <w:lvl w:ilvl="0">
      <w:lvlJc w:val="left"/>
      <w:lvlText w:val="1"/>
      <w:numFmt w:val="bullet"/>
      <w:start w:val="1"/>
    </w:lvl>
  </w:abstractNum>
  <w:abstractNum w:abstractNumId="162">
    <w:nsid w:val="30AADFDA"/>
    <w:multiLevelType w:val="hybridMultilevel"/>
    <w:lvl w:ilvl="0">
      <w:lvlJc w:val="left"/>
      <w:lvlText w:val="%1."/>
      <w:numFmt w:val="decimal"/>
      <w:start w:val="1"/>
    </w:lvl>
  </w:abstractNum>
  <w:abstractNum w:abstractNumId="163">
    <w:nsid w:val="30EADA61"/>
    <w:multiLevelType w:val="hybridMultilevel"/>
    <w:lvl w:ilvl="0">
      <w:lvlJc w:val="left"/>
      <w:lvlText w:val="%1."/>
      <w:numFmt w:val="decimal"/>
      <w:start w:val="2"/>
    </w:lvl>
    <w:lvl w:ilvl="1">
      <w:lvlJc w:val="left"/>
      <w:lvlText w:val="(%2)"/>
      <w:numFmt w:val="lowerLetter"/>
      <w:start w:val="1"/>
    </w:lvl>
  </w:abstractNum>
  <w:abstractNum w:abstractNumId="164">
    <w:nsid w:val="27179C0B"/>
    <w:multiLevelType w:val="hybridMultilevel"/>
    <w:lvl w:ilvl="0">
      <w:lvlJc w:val="left"/>
      <w:lvlText w:val="(%1)"/>
      <w:numFmt w:val="lowerLetter"/>
      <w:start w:val="2"/>
    </w:lvl>
  </w:abstractNum>
  <w:abstractNum w:abstractNumId="165">
    <w:nsid w:val="5E636063"/>
    <w:multiLevelType w:val="hybridMultilevel"/>
    <w:lvl w:ilvl="0">
      <w:lvlJc w:val="left"/>
      <w:lvlText w:val="%1."/>
      <w:numFmt w:val="decimal"/>
      <w:start w:val="3"/>
    </w:lvl>
    <w:lvl w:ilvl="1">
      <w:lvlJc w:val="left"/>
      <w:lvlText w:val="(%2)"/>
      <w:numFmt w:val="lowerLetter"/>
      <w:start w:val="1"/>
    </w:lvl>
  </w:abstractNum>
  <w:abstractNum w:abstractNumId="166">
    <w:nsid w:val="215641AF"/>
    <w:multiLevelType w:val="hybridMultilevel"/>
    <w:lvl w:ilvl="0">
      <w:lvlJc w:val="left"/>
      <w:lvlText w:val="%1."/>
      <w:numFmt w:val="decimal"/>
      <w:start w:val="4"/>
    </w:lvl>
  </w:abstractNum>
  <w:abstractNum w:abstractNumId="167">
    <w:nsid w:val="53280662"/>
    <w:multiLevelType w:val="hybridMultilevel"/>
    <w:lvl w:ilvl="0">
      <w:lvlJc w:val="left"/>
      <w:lvlText w:val="%1."/>
      <w:numFmt w:val="decimal"/>
      <w:start w:val="1"/>
    </w:lvl>
  </w:abstractNum>
  <w:abstractNum w:abstractNumId="168">
    <w:nsid w:val="46B24DBC"/>
    <w:multiLevelType w:val="hybridMultilevel"/>
    <w:lvl w:ilvl="0">
      <w:lvlJc w:val="left"/>
      <w:lvlText w:val="("/>
      <w:numFmt w:val="bullet"/>
      <w:start w:val="1"/>
    </w:lvl>
  </w:abstractNum>
  <w:abstractNum w:abstractNumId="169">
    <w:nsid w:val="75B52783"/>
    <w:multiLevelType w:val="hybridMultilevel"/>
    <w:lvl w:ilvl="0">
      <w:lvlJc w:val="left"/>
      <w:lvlText w:val="%1."/>
      <w:numFmt w:val="decimal"/>
      <w:start w:val="2"/>
    </w:lvl>
    <w:lvl w:ilvl="1">
      <w:lvlJc w:val="left"/>
      <w:lvlText w:val="(%2)"/>
      <w:numFmt w:val="lowerLetter"/>
      <w:start w:val="1"/>
    </w:lvl>
  </w:abstractNum>
  <w:abstractNum w:abstractNumId="170">
    <w:nsid w:val="57CE66B4"/>
    <w:multiLevelType w:val="hybridMultilevel"/>
    <w:lvl w:ilvl="0">
      <w:lvlJc w:val="left"/>
      <w:lvlText w:val="%1"/>
      <w:numFmt w:val="decimal"/>
      <w:start w:val="1"/>
    </w:lvl>
    <w:lvl w:ilvl="1">
      <w:lvlJc w:val="left"/>
      <w:lvlText w:val="(%2)"/>
      <w:numFmt w:val="lowerLetter"/>
      <w:start w:val="2"/>
    </w:lvl>
  </w:abstractNum>
  <w:abstractNum w:abstractNumId="171">
    <w:nsid w:val="67A70B69"/>
    <w:multiLevelType w:val="hybridMultilevel"/>
    <w:lvl w:ilvl="0">
      <w:lvlJc w:val="left"/>
      <w:lvlText w:val="%1."/>
      <w:numFmt w:val="decimal"/>
      <w:start w:val="3"/>
    </w:lvl>
    <w:lvl w:ilvl="1">
      <w:lvlJc w:val="left"/>
      <w:lvlText w:val="(%2)"/>
      <w:numFmt w:val="lowerLetter"/>
      <w:start w:val="1"/>
    </w:lvl>
  </w:abstractNum>
  <w:abstractNum w:abstractNumId="172">
    <w:nsid w:val="5953172F"/>
    <w:multiLevelType w:val="hybridMultilevel"/>
    <w:lvl w:ilvl="0">
      <w:lvlJc w:val="left"/>
      <w:lvlText w:val="%1."/>
      <w:numFmt w:val="decimal"/>
      <w:start w:val="7"/>
    </w:lvl>
  </w:abstractNum>
  <w:abstractNum w:abstractNumId="173">
    <w:nsid w:val="27EDFE3A"/>
    <w:multiLevelType w:val="hybridMultilevel"/>
    <w:lvl w:ilvl="0">
      <w:lvlJc w:val="left"/>
      <w:lvlText w:val="%1."/>
      <w:numFmt w:val="decimal"/>
      <w:start w:val="1"/>
    </w:lvl>
  </w:abstractNum>
  <w:abstractNum w:abstractNumId="174">
    <w:nsid w:val="52AC7DFF"/>
    <w:multiLevelType w:val="hybridMultilevel"/>
    <w:lvl w:ilvl="0">
      <w:lvlJc w:val="left"/>
      <w:lvlText w:val="("/>
      <w:numFmt w:val="bullet"/>
      <w:start w:val="1"/>
    </w:lvl>
  </w:abstractNum>
  <w:abstractNum w:abstractNumId="175">
    <w:nsid w:val="C4C3AF"/>
    <w:multiLevelType w:val="hybridMultilevel"/>
    <w:lvl w:ilvl="0">
      <w:lvlJc w:val="left"/>
      <w:lvlText w:val="%1."/>
      <w:numFmt w:val="decimal"/>
      <w:start w:val="2"/>
    </w:lvl>
    <w:lvl w:ilvl="1">
      <w:lvlJc w:val="left"/>
      <w:lvlText w:val="(%2)"/>
      <w:numFmt w:val="lowerLetter"/>
      <w:start w:val="1"/>
    </w:lvl>
  </w:abstractNum>
  <w:abstractNum w:abstractNumId="176">
    <w:nsid w:val="44380727"/>
    <w:multiLevelType w:val="hybridMultilevel"/>
    <w:lvl w:ilvl="0">
      <w:lvlJc w:val="left"/>
      <w:lvlText w:val="(%1)"/>
      <w:numFmt w:val="lowerLetter"/>
      <w:start w:val="2"/>
    </w:lvl>
  </w:abstractNum>
  <w:abstractNum w:abstractNumId="177">
    <w:nsid w:val="6C053B16"/>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78">
    <w:nsid w:val="4F29439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179">
    <w:nsid w:val="5243BFAC"/>
    <w:multiLevelType w:val="hybridMultilevel"/>
    <w:lvl w:ilvl="0">
      <w:lvlJc w:val="left"/>
      <w:lvlText w:val="%1."/>
      <w:numFmt w:val="decimal"/>
      <w:start w:val="4"/>
    </w:lvl>
  </w:abstractNum>
  <w:abstractNum w:abstractNumId="180">
    <w:nsid w:val="425EB207"/>
    <w:multiLevelType w:val="hybridMultilevel"/>
    <w:lvl w:ilvl="0">
      <w:lvlJc w:val="left"/>
      <w:lvlText w:val="%1"/>
      <w:numFmt w:val="decimal"/>
      <w:start w:val="1"/>
    </w:lvl>
    <w:lvl w:ilvl="1">
      <w:lvlJc w:val="left"/>
      <w:lvlText w:val="%2."/>
      <w:numFmt w:val="decimal"/>
      <w:start w:val="10"/>
    </w:lvl>
  </w:abstractNum>
  <w:abstractNum w:abstractNumId="181">
    <w:nsid w:val="334A6F1F"/>
    <w:multiLevelType w:val="hybridMultilevel"/>
    <w:lvl w:ilvl="0">
      <w:lvlJc w:val="left"/>
      <w:lvlText w:val="%1."/>
      <w:numFmt w:val="decimal"/>
      <w:start w:val="1"/>
    </w:lvl>
    <w:lvl w:ilvl="1">
      <w:lvlJc w:val="left"/>
      <w:lvlText w:val="(%2)"/>
      <w:numFmt w:val="lowerLetter"/>
      <w:start w:val="1"/>
    </w:lvl>
  </w:abstractNum>
  <w:abstractNum w:abstractNumId="182">
    <w:nsid w:val="2E5B12B8"/>
    <w:multiLevelType w:val="hybridMultilevel"/>
    <w:lvl w:ilvl="0">
      <w:lvlJc w:val="left"/>
      <w:lvlText w:val="%1."/>
      <w:numFmt w:val="decimal"/>
      <w:start w:val="3"/>
    </w:lvl>
  </w:abstractNum>
  <w:abstractNum w:abstractNumId="183">
    <w:nsid w:val="5C03D76D"/>
    <w:multiLevelType w:val="hybridMultilevel"/>
    <w:lvl w:ilvl="0">
      <w:lvlJc w:val="left"/>
      <w:lvlText w:val="("/>
      <w:numFmt w:val="bullet"/>
      <w:start w:val="1"/>
    </w:lvl>
  </w:abstractNum>
  <w:abstractNum w:abstractNumId="184">
    <w:nsid w:val="66A48D11"/>
    <w:multiLevelType w:val="hybridMultilevel"/>
    <w:lvl w:ilvl="0">
      <w:lvlJc w:val="left"/>
      <w:lvlText w:val="%1."/>
      <w:numFmt w:val="decimal"/>
      <w:start w:val="4"/>
    </w:lvl>
  </w:abstractNum>
  <w:abstractNum w:abstractNumId="185">
    <w:nsid w:val="56C28E34"/>
    <w:multiLevelType w:val="hybridMultilevel"/>
    <w:lvl w:ilvl="0">
      <w:lvlJc w:val="left"/>
      <w:lvlText w:val="%1."/>
      <w:numFmt w:val="decimal"/>
      <w:start w:val="8"/>
    </w:lvl>
  </w:abstractNum>
  <w:abstractNum w:abstractNumId="186">
    <w:nsid w:val="13916F2D"/>
    <w:multiLevelType w:val="hybridMultilevel"/>
    <w:lvl w:ilvl="0">
      <w:lvlJc w:val="left"/>
      <w:lvlText w:val="%1."/>
      <w:numFmt w:val="decimal"/>
      <w:start w:val="13"/>
    </w:lvl>
  </w:abstractNum>
  <w:abstractNum w:abstractNumId="187">
    <w:nsid w:val="435D38D"/>
    <w:multiLevelType w:val="hybridMultilevel"/>
    <w:lvl w:ilvl="0">
      <w:lvlJc w:val="left"/>
      <w:lvlText w:val="1"/>
      <w:numFmt w:val="bullet"/>
      <w:start w:val="1"/>
    </w:lvl>
  </w:abstractNum>
  <w:abstractNum w:abstractNumId="188">
    <w:nsid w:val="822C0EF"/>
    <w:multiLevelType w:val="hybridMultilevel"/>
    <w:lvl w:ilvl="0">
      <w:lvlJc w:val="left"/>
      <w:lvlText w:val="%1."/>
      <w:numFmt w:val="decimal"/>
      <w:start w:val="1"/>
    </w:lvl>
  </w:abstractNum>
  <w:abstractNum w:abstractNumId="189">
    <w:nsid w:val="57C5BB4F"/>
    <w:multiLevelType w:val="hybridMultilevel"/>
    <w:lvl w:ilvl="0">
      <w:lvlJc w:val="left"/>
      <w:lvlText w:val="("/>
      <w:numFmt w:val="bullet"/>
      <w:start w:val="1"/>
    </w:lvl>
  </w:abstractNum>
  <w:abstractNum w:abstractNumId="190">
    <w:nsid w:val="1803D089"/>
    <w:multiLevelType w:val="hybridMultilevel"/>
    <w:lvl w:ilvl="0">
      <w:lvlJc w:val="left"/>
      <w:lvlText w:val="%1."/>
      <w:numFmt w:val="decimal"/>
      <w:start w:val="3"/>
    </w:lvl>
  </w:abstractNum>
  <w:abstractNum w:abstractNumId="191">
    <w:nsid w:val="4F3A06D4"/>
    <w:multiLevelType w:val="hybridMultilevel"/>
    <w:lvl w:ilvl="0">
      <w:lvlJc w:val="left"/>
      <w:lvlText w:val="%1."/>
      <w:numFmt w:val="decimal"/>
      <w:start w:val="10"/>
    </w:lvl>
  </w:abstractNum>
  <w:abstractNum w:abstractNumId="192">
    <w:nsid w:val="59A377B6"/>
    <w:multiLevelType w:val="hybridMultilevel"/>
    <w:lvl w:ilvl="0">
      <w:lvlJc w:val="left"/>
      <w:lvlText w:val="%1."/>
      <w:numFmt w:val="decimal"/>
      <w:start w:val="1"/>
    </w:lvl>
  </w:abstractNum>
  <w:abstractNum w:abstractNumId="193">
    <w:nsid w:val="48AEB063"/>
    <w:multiLevelType w:val="hybridMultilevel"/>
    <w:lvl w:ilvl="0">
      <w:lvlJc w:val="left"/>
      <w:lvlText w:val="("/>
      <w:numFmt w:val="bullet"/>
      <w:start w:val="1"/>
    </w:lvl>
  </w:abstractNum>
  <w:abstractNum w:abstractNumId="194">
    <w:nsid w:val="24E135"/>
    <w:multiLevelType w:val="hybridMultilevel"/>
    <w:lvl w:ilvl="0">
      <w:lvlJc w:val="left"/>
      <w:lvlText w:val="%1."/>
      <w:numFmt w:val="decimal"/>
      <w:start w:val="3"/>
    </w:lvl>
  </w:abstractNum>
  <w:abstractNum w:abstractNumId="195">
    <w:nsid w:val="BB13C1"/>
    <w:multiLevelType w:val="hybridMultilevel"/>
    <w:lvl w:ilvl="0">
      <w:lvlJc w:val="left"/>
      <w:lvlText w:val="%1."/>
      <w:numFmt w:val="decimal"/>
      <w:start w:val="10"/>
    </w:lvl>
  </w:abstractNum>
  <w:abstractNum w:abstractNumId="196">
    <w:nsid w:val="271210C7"/>
    <w:multiLevelType w:val="hybridMultilevel"/>
    <w:lvl w:ilvl="0">
      <w:lvlJc w:val="left"/>
      <w:lvlText w:val="%1."/>
      <w:numFmt w:val="decimal"/>
      <w:start w:val="1"/>
    </w:lvl>
  </w:abstractNum>
  <w:abstractNum w:abstractNumId="197">
    <w:nsid w:val="217B22E4"/>
    <w:multiLevelType w:val="hybridMultilevel"/>
    <w:lvl w:ilvl="0">
      <w:lvlJc w:val="left"/>
      <w:lvlText w:val="("/>
      <w:numFmt w:val="bullet"/>
      <w:start w:val="1"/>
    </w:lvl>
  </w:abstractNum>
  <w:abstractNum w:abstractNumId="198">
    <w:nsid w:val="53E31A24"/>
    <w:multiLevelType w:val="hybridMultilevel"/>
    <w:lvl w:ilvl="0">
      <w:lvlJc w:val="left"/>
      <w:lvlText w:val="%1."/>
      <w:numFmt w:val="decimal"/>
      <w:start w:val="3"/>
    </w:lvl>
  </w:abstractNum>
  <w:abstractNum w:abstractNumId="199">
    <w:nsid w:val="6DC45E83"/>
    <w:multiLevelType w:val="hybridMultilevel"/>
    <w:lvl w:ilvl="0">
      <w:lvlJc w:val="left"/>
      <w:lvlText w:val="%1."/>
      <w:numFmt w:val="decimal"/>
      <w:start w:val="4"/>
    </w:lvl>
  </w:abstractNum>
  <w:abstractNum w:abstractNumId="200">
    <w:nsid w:val="17304A67"/>
    <w:multiLevelType w:val="hybridMultilevel"/>
    <w:lvl w:ilvl="0">
      <w:lvlJc w:val="left"/>
      <w:lvlText w:val="%1"/>
      <w:numFmt w:val="decimal"/>
      <w:start w:val="1"/>
    </w:lvl>
    <w:lvl w:ilvl="1">
      <w:lvlJc w:val="left"/>
      <w:lvlText w:val="%2."/>
      <w:numFmt w:val="decimal"/>
      <w:start w:val="11"/>
    </w:lvl>
  </w:abstractNum>
  <w:abstractNum w:abstractNumId="201">
    <w:nsid w:val="2BB180D8"/>
    <w:multiLevelType w:val="hybridMultilevel"/>
    <w:lvl w:ilvl="0">
      <w:lvlJc w:val="left"/>
      <w:lvlText w:val="%1."/>
      <w:numFmt w:val="decimal"/>
      <w:start w:val="1"/>
    </w:lvl>
  </w:abstractNum>
  <w:abstractNum w:abstractNumId="202">
    <w:nsid w:val="556B69ED"/>
    <w:multiLevelType w:val="hybridMultilevel"/>
    <w:lvl w:ilvl="0">
      <w:lvlJc w:val="left"/>
      <w:lvlText w:val="%1."/>
      <w:numFmt w:val="decimal"/>
      <w:start w:val="3"/>
    </w:lvl>
    <w:lvl w:ilvl="1">
      <w:lvlJc w:val="left"/>
      <w:lvlText w:val="(%2)"/>
      <w:numFmt w:val="lowerLetter"/>
      <w:start w:val="1"/>
    </w:lvl>
  </w:abstractNum>
  <w:abstractNum w:abstractNumId="203">
    <w:nsid w:val="70836196"/>
    <w:multiLevelType w:val="hybridMultilevel"/>
    <w:lvl w:ilvl="0">
      <w:lvlJc w:val="left"/>
      <w:lvlText w:val="%1."/>
      <w:numFmt w:val="decimal"/>
      <w:start w:val="5"/>
    </w:lvl>
  </w:abstractNum>
  <w:abstractNum w:abstractNumId="204">
    <w:nsid w:val="539F7F12"/>
    <w:multiLevelType w:val="hybridMultilevel"/>
    <w:lvl w:ilvl="0">
      <w:lvlJc w:val="left"/>
      <w:lvlText w:val="%1."/>
      <w:numFmt w:val="decimal"/>
      <w:start w:val="9"/>
    </w:lvl>
  </w:abstractNum>
  <w:abstractNum w:abstractNumId="205">
    <w:nsid w:val="2817E7EC"/>
    <w:multiLevelType w:val="hybridMultilevel"/>
    <w:lvl w:ilvl="0">
      <w:lvlJc w:val="left"/>
      <w:lvlText w:val="%1."/>
      <w:numFmt w:val="decimal"/>
      <w:start w:val="12"/>
    </w:lvl>
  </w:abstractNum>
  <w:abstractNum w:abstractNumId="206">
    <w:nsid w:val="71482545"/>
    <w:multiLevelType w:val="hybridMultilevel"/>
    <w:lvl w:ilvl="0">
      <w:lvlJc w:val="left"/>
      <w:lvlText w:val="%1."/>
      <w:numFmt w:val="decimal"/>
      <w:start w:val="14"/>
    </w:lvl>
    <w:lvl w:ilvl="1">
      <w:lvlJc w:val="left"/>
      <w:lvlText w:val="(%2)"/>
      <w:numFmt w:val="lowerLetter"/>
      <w:start w:val="1"/>
    </w:lvl>
  </w:abstractNum>
  <w:abstractNum w:abstractNumId="207">
    <w:nsid w:val="17D78639"/>
    <w:multiLevelType w:val="hybridMultilevel"/>
    <w:lvl w:ilvl="0">
      <w:lvlJc w:val="left"/>
      <w:lvlText w:val="%1"/>
      <w:numFmt w:val="decimal"/>
      <w:start w:val="1"/>
    </w:lvl>
    <w:lvl w:ilvl="1">
      <w:lvlJc w:val="left"/>
      <w:lvlText w:val="(%2)"/>
      <w:numFmt w:val="lowerLetter"/>
      <w:start w:val="4"/>
    </w:lvl>
  </w:abstractNum>
  <w:abstractNum w:abstractNumId="208">
    <w:nsid w:val="141D2302"/>
    <w:multiLevelType w:val="hybridMultilevel"/>
    <w:lvl w:ilvl="0">
      <w:lvlJc w:val="left"/>
      <w:lvlText w:val="%1."/>
      <w:numFmt w:val="decimal"/>
      <w:start w:val="18"/>
    </w:lvl>
    <w:lvl w:ilvl="1">
      <w:lvlJc w:val="left"/>
      <w:lvlText w:val="%2"/>
      <w:numFmt w:val="lowerLetter"/>
      <w:start w:val="1"/>
    </w:lvl>
  </w:abstractNum>
  <w:abstractNum w:abstractNumId="209">
    <w:nsid w:val="407168D8"/>
    <w:multiLevelType w:val="hybridMultilevel"/>
    <w:lvl w:ilvl="0">
      <w:lvlJc w:val="left"/>
      <w:lvlText w:val="%1."/>
      <w:numFmt w:val="decimal"/>
      <w:start w:val="23"/>
    </w:lvl>
  </w:abstractNum>
  <w:abstractNum w:abstractNumId="210">
    <w:nsid w:val="6A1B45E5"/>
    <w:multiLevelType w:val="hybridMultilevel"/>
    <w:lvl w:ilvl="0">
      <w:lvlJc w:val="left"/>
      <w:lvlText w:val="%1."/>
      <w:numFmt w:val="decimal"/>
      <w:start w:val="1"/>
    </w:lvl>
    <w:lvl w:ilvl="1">
      <w:lvlJc w:val="left"/>
      <w:lvlText w:val="(%2)"/>
      <w:numFmt w:val="lowerLetter"/>
      <w:start w:val="1"/>
    </w:lvl>
  </w:abstractNum>
  <w:abstractNum w:abstractNumId="211">
    <w:nsid w:val="567BD50A"/>
    <w:multiLevelType w:val="hybridMultilevel"/>
    <w:lvl w:ilvl="0">
      <w:lvlJc w:val="left"/>
      <w:lvlText w:val="%1"/>
      <w:numFmt w:val="decimal"/>
      <w:start w:val="1"/>
    </w:lvl>
    <w:lvl w:ilvl="1">
      <w:lvlJc w:val="left"/>
      <w:lvlText w:val="(%2)"/>
      <w:numFmt w:val="lowerLetter"/>
      <w:start w:val="3"/>
    </w:lvl>
  </w:abstractNum>
  <w:abstractNum w:abstractNumId="212">
    <w:nsid w:val="73BBD7F8"/>
    <w:multiLevelType w:val="hybridMultilevel"/>
    <w:lvl w:ilvl="0">
      <w:lvlJc w:val="left"/>
      <w:lvlText w:val="%1."/>
      <w:numFmt w:val="decimal"/>
      <w:start w:val="2"/>
    </w:lvl>
    <w:lvl w:ilvl="1">
      <w:lvlJc w:val="left"/>
      <w:lvlText w:val="(%2)"/>
      <w:numFmt w:val="lowerLetter"/>
      <w:start w:val="1"/>
    </w:lvl>
  </w:abstractNum>
  <w:abstractNum w:abstractNumId="213">
    <w:nsid w:val="1876589D"/>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14">
    <w:nsid w:val="327FAC7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15">
    <w:nsid w:val="5A60650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216">
    <w:nsid w:val="6F38E6D1"/>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17">
    <w:nsid w:val="46111BA5"/>
    <w:multiLevelType w:val="hybridMultilevel"/>
    <w:lvl w:ilvl="0">
      <w:lvlJc w:val="left"/>
      <w:lvlText w:val="(%1)"/>
      <w:numFmt w:val="lowerRoman"/>
      <w:start w:val="1"/>
    </w:lvl>
  </w:abstractNum>
  <w:abstractNum w:abstractNumId="218">
    <w:nsid w:val="5E96389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19">
    <w:nsid w:val="775BA7C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20">
    <w:nsid w:val="1DD6D6F4"/>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221">
    <w:nsid w:val="769A091F"/>
    <w:multiLevelType w:val="hybridMultilevel"/>
    <w:lvl w:ilvl="0">
      <w:lvlJc w:val="left"/>
      <w:lvlText w:val="%1"/>
      <w:numFmt w:val="decimal"/>
      <w:start w:val="1"/>
    </w:lvl>
    <w:lvl w:ilvl="1">
      <w:lvlJc w:val="left"/>
      <w:lvlText w:val="(%2)"/>
      <w:numFmt w:val="lowerLetter"/>
      <w:start w:val="4"/>
    </w:lvl>
  </w:abstractNum>
  <w:abstractNum w:abstractNumId="222">
    <w:nsid w:val="4695AE95"/>
    <w:multiLevelType w:val="hybridMultilevel"/>
    <w:lvl w:ilvl="0">
      <w:lvlJc w:val="left"/>
      <w:lvlText w:val="%1."/>
      <w:numFmt w:val="decimal"/>
      <w:start w:val="5"/>
    </w:lvl>
    <w:lvl w:ilvl="1">
      <w:lvlJc w:val="left"/>
      <w:lvlText w:val="(%2)"/>
      <w:numFmt w:val="lowerLetter"/>
      <w:start w:val="1"/>
    </w:lvl>
  </w:abstractNum>
  <w:abstractNum w:abstractNumId="223">
    <w:nsid w:val="777A4EAA"/>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24">
    <w:nsid w:val="3F48B982"/>
    <w:multiLevelType w:val="hybridMultilevel"/>
    <w:lvl w:ilvl="0">
      <w:lvlJc w:val="left"/>
      <w:lvlText w:val="%1"/>
      <w:numFmt w:val="upperLetter"/>
      <w:start w:val="1"/>
    </w:lvl>
    <w:lvl w:ilvl="1">
      <w:lvlJc w:val="left"/>
      <w:lvlText w:val="(%2)"/>
      <w:numFmt w:val="lowerRoman"/>
      <w:start w:val="2"/>
    </w:lvl>
  </w:abstractNum>
  <w:abstractNum w:abstractNumId="225">
    <w:nsid w:val="46BA8FCA"/>
    <w:multiLevelType w:val="hybridMultilevel"/>
    <w:lvl w:ilvl="0">
      <w:lvlJc w:val="left"/>
      <w:lvlText w:val="(%1)"/>
      <w:numFmt w:val="upperLetter"/>
      <w:start w:val="2"/>
    </w:lvl>
    <w:lvl w:ilvl="1">
      <w:lvlJc w:val="left"/>
      <w:lvlText w:val="(%2)"/>
      <w:numFmt w:val="lowerRoman"/>
      <w:start w:val="3"/>
    </w:lvl>
  </w:abstractNum>
  <w:abstractNum w:abstractNumId="226">
    <w:nsid w:val="7835626C"/>
    <w:multiLevelType w:val="hybridMultilevel"/>
    <w:lvl w:ilvl="0">
      <w:lvlJc w:val="left"/>
      <w:lvlText w:val="(%1)"/>
      <w:numFmt w:val="upperLetter"/>
      <w:start w:val="2"/>
    </w:lvl>
    <w:lvl w:ilvl="1">
      <w:lvlJc w:val="left"/>
      <w:lvlText w:val="%2"/>
      <w:numFmt w:val="lowerRoman"/>
      <w:start w:val="1"/>
    </w:lvl>
  </w:abstractNum>
  <w:abstractNum w:abstractNumId="227">
    <w:nsid w:val="665ACA49"/>
    <w:multiLevelType w:val="hybridMultilevel"/>
    <w:lvl w:ilvl="0">
      <w:lvlJc w:val="left"/>
      <w:lvlText w:val="(%1)"/>
      <w:numFmt w:val="lowerLetter"/>
      <w:start w:val="2"/>
    </w:lvl>
    <w:lvl w:ilvl="1">
      <w:lvlJc w:val="left"/>
      <w:lvlText w:val="(%2)"/>
      <w:numFmt w:val="lowerLetter"/>
      <w:start w:val="9"/>
    </w:lvl>
  </w:abstractNum>
  <w:abstractNum w:abstractNumId="228">
    <w:nsid w:val="6835B2AE"/>
    <w:multiLevelType w:val="hybridMultilevel"/>
    <w:lvl w:ilvl="0">
      <w:lvlJc w:val="left"/>
      <w:lvlText w:val="%1"/>
      <w:numFmt w:val="lowerLetter"/>
      <w:start w:val="1"/>
    </w:lvl>
    <w:lvl w:ilvl="1">
      <w:lvlJc w:val="left"/>
      <w:lvlText w:val="(%2)"/>
      <w:numFmt w:val="lowerRoman"/>
      <w:start w:val="2"/>
    </w:lvl>
  </w:abstractNum>
  <w:abstractNum w:abstractNumId="229">
    <w:nsid w:val="4C187C90"/>
    <w:multiLevelType w:val="hybridMultilevel"/>
    <w:lvl w:ilvl="0">
      <w:lvlJc w:val="left"/>
      <w:lvlText w:val="(%1)"/>
      <w:numFmt w:val="lowerLetter"/>
      <w:start w:val="3"/>
    </w:lvl>
    <w:lvl w:ilvl="1">
      <w:lvlJc w:val="left"/>
      <w:lvlText w:val="(%2)"/>
      <w:numFmt w:val="lowerRoman"/>
      <w:start w:val="1"/>
    </w:lvl>
  </w:abstractNum>
  <w:abstractNum w:abstractNumId="230">
    <w:nsid w:val="541F28CD"/>
    <w:multiLevelType w:val="hybridMultilevel"/>
    <w:lvl w:ilvl="0">
      <w:lvlJc w:val="left"/>
      <w:lvlText w:val="%1."/>
      <w:numFmt w:val="decimal"/>
      <w:start w:val="7"/>
    </w:lvl>
    <w:lvl w:ilvl="1">
      <w:lvlJc w:val="left"/>
      <w:lvlText w:val="(%2)"/>
      <w:numFmt w:val="lowerLetter"/>
      <w:start w:val="1"/>
    </w:lvl>
  </w:abstractNum>
  <w:abstractNum w:abstractNumId="231">
    <w:nsid w:val="7F65FD16"/>
    <w:multiLevelType w:val="hybridMultilevel"/>
    <w:lvl w:ilvl="0">
      <w:lvlJc w:val="left"/>
      <w:lvlText w:val="%1"/>
      <w:numFmt w:val="decimal"/>
      <w:start w:val="1"/>
    </w:lvl>
    <w:lvl w:ilvl="1">
      <w:lvlJc w:val="left"/>
      <w:lvlText w:val="(%2)"/>
      <w:numFmt w:val="lowerLetter"/>
      <w:start w:val="5"/>
    </w:lvl>
  </w:abstractNum>
  <w:abstractNum w:abstractNumId="232">
    <w:nsid w:val="77C9FD68"/>
    <w:multiLevelType w:val="hybridMultilevel"/>
    <w:lvl w:ilvl="0">
      <w:lvlJc w:val="left"/>
      <w:lvlText w:val="%1."/>
      <w:numFmt w:val="decimal"/>
      <w:start w:val="8"/>
    </w:lvl>
    <w:lvl w:ilvl="1">
      <w:lvlJc w:val="left"/>
      <w:lvlText w:val="(%2)"/>
      <w:numFmt w:val="lowerLetter"/>
      <w:start w:val="1"/>
    </w:lvl>
  </w:abstractNum>
  <w:abstractNum w:abstractNumId="233">
    <w:nsid w:val="298A92BA"/>
    <w:multiLevelType w:val="hybridMultilevel"/>
    <w:lvl w:ilvl="0">
      <w:lvlJc w:val="left"/>
      <w:lvlText w:val="%1"/>
      <w:numFmt w:val="decimal"/>
      <w:start w:val="1"/>
    </w:lvl>
    <w:lvl w:ilvl="1">
      <w:lvlJc w:val="left"/>
      <w:lvlText w:val="(%2)"/>
      <w:numFmt w:val="lowerLetter"/>
      <w:start w:val="4"/>
    </w:lvl>
  </w:abstractNum>
  <w:abstractNum w:abstractNumId="234">
    <w:nsid w:val="6FE95EAC"/>
    <w:multiLevelType w:val="hybridMultilevel"/>
    <w:lvl w:ilvl="0">
      <w:lvlJc w:val="left"/>
      <w:lvlText w:val="%1."/>
      <w:numFmt w:val="decimal"/>
      <w:start w:val="9"/>
    </w:lvl>
    <w:lvl w:ilvl="1">
      <w:lvlJc w:val="left"/>
      <w:lvlText w:val="%2"/>
      <w:numFmt w:val="lowerLetter"/>
      <w:start w:val="1"/>
    </w:lvl>
  </w:abstractNum>
  <w:abstractNum w:abstractNumId="235">
    <w:nsid w:val="4B697C7A"/>
    <w:multiLevelType w:val="hybridMultilevel"/>
    <w:lvl w:ilvl="0">
      <w:lvlJc w:val="left"/>
      <w:lvlText w:val="%1."/>
      <w:numFmt w:val="decimal"/>
      <w:start w:val="14"/>
    </w:lvl>
  </w:abstractNum>
  <w:abstractNum w:abstractNumId="236">
    <w:nsid w:val="51A27AA6"/>
    <w:multiLevelType w:val="hybridMultilevel"/>
    <w:lvl w:ilvl="0">
      <w:lvlJc w:val="left"/>
      <w:lvlText w:val="%1."/>
      <w:numFmt w:val="decimal"/>
      <w:start w:val="21"/>
    </w:lvl>
  </w:abstractNum>
  <w:abstractNum w:abstractNumId="237">
    <w:nsid w:val="613183F2"/>
    <w:multiLevelType w:val="hybridMultilevel"/>
    <w:lvl w:ilvl="0">
      <w:lvlJc w:val="left"/>
      <w:lvlText w:val="%1."/>
      <w:numFmt w:val="decimal"/>
      <w:start w:val="1"/>
    </w:lvl>
    <w:lvl w:ilvl="1">
      <w:lvlJc w:val="left"/>
      <w:lvlText w:val="(%2)"/>
      <w:numFmt w:val="lowerLetter"/>
      <w:start w:val="1"/>
    </w:lvl>
  </w:abstractNum>
  <w:abstractNum w:abstractNumId="238">
    <w:nsid w:val="634102B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39">
    <w:nsid w:val="65BF9DA8"/>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240">
    <w:nsid w:val="21A2ECC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241">
    <w:nsid w:val="4D5C489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Letter"/>
      <w:start w:val="9"/>
    </w:lvl>
  </w:abstractNum>
  <w:abstractNum w:abstractNumId="242">
    <w:nsid w:val="3C3B72B2"/>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43">
    <w:nsid w:val="155EC4C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44">
    <w:nsid w:val="65D2A137"/>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45">
    <w:nsid w:val="6EBB1F2A"/>
    <w:multiLevelType w:val="hybridMultilevel"/>
    <w:lvl w:ilvl="0">
      <w:lvlJc w:val="left"/>
      <w:lvlText w:val="(%1)"/>
      <w:numFmt w:val="lowerRoman"/>
      <w:start w:val="2"/>
    </w:lvl>
  </w:abstractNum>
  <w:abstractNum w:abstractNumId="246">
    <w:nsid w:val="6FBF29CB"/>
    <w:multiLevelType w:val="hybridMultilevel"/>
    <w:lvl w:ilvl="0">
      <w:lvlJc w:val="left"/>
      <w:lvlText w:val="(%1)"/>
      <w:numFmt w:val="lowerRoman"/>
      <w:start w:val="1"/>
    </w:lvl>
  </w:abstractNum>
  <w:abstractNum w:abstractNumId="247">
    <w:nsid w:val="550B880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48">
    <w:nsid w:val="34CC3ACF"/>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49">
    <w:nsid w:val="4E556261"/>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abstractNum>
  <w:abstractNum w:abstractNumId="250">
    <w:nsid w:val="4C672FC9"/>
    <w:multiLevelType w:val="hybridMultilevel"/>
    <w:lvl w:ilvl="0">
      <w:lvlJc w:val="left"/>
      <w:lvlText w:val="%1"/>
      <w:numFmt w:val="decimal"/>
      <w:start w:val="1"/>
    </w:lvl>
    <w:lvl w:ilvl="1">
      <w:lvlJc w:val="left"/>
      <w:lvlText w:val="(%2)"/>
      <w:numFmt w:val="lowerLetter"/>
      <w:start w:val="3"/>
    </w:lvl>
  </w:abstractNum>
  <w:abstractNum w:abstractNumId="251">
    <w:nsid w:val="52A311C3"/>
    <w:multiLevelType w:val="hybridMultilevel"/>
    <w:lvl w:ilvl="0">
      <w:lvlJc w:val="left"/>
      <w:lvlText w:val="%1."/>
      <w:numFmt w:val="decimal"/>
      <w:start w:val="5"/>
    </w:lvl>
    <w:lvl w:ilvl="1">
      <w:lvlJc w:val="left"/>
      <w:lvlText w:val="(%2)"/>
      <w:numFmt w:val="lowerLetter"/>
      <w:start w:val="1"/>
    </w:lvl>
  </w:abstractNum>
  <w:abstractNum w:abstractNumId="252">
    <w:nsid w:val="44EF6B80"/>
    <w:multiLevelType w:val="hybridMultilevel"/>
    <w:lvl w:ilvl="0">
      <w:lvlJc w:val="left"/>
      <w:lvlText w:val="(%1)"/>
      <w:numFmt w:val="lowerLetter"/>
      <w:start w:val="2"/>
    </w:lvl>
  </w:abstractNum>
  <w:abstractNum w:abstractNumId="253">
    <w:nsid w:val="12FCDE5E"/>
    <w:multiLevelType w:val="hybridMultilevel"/>
    <w:lvl w:ilvl="0">
      <w:lvlJc w:val="left"/>
      <w:lvlText w:val="%1."/>
      <w:numFmt w:val="decimal"/>
      <w:start w:val="6"/>
    </w:lvl>
  </w:abstractNum>
  <w:abstractNum w:abstractNumId="254">
    <w:nsid w:val="4A1D606E"/>
    <w:multiLevelType w:val="hybridMultilevel"/>
    <w:lvl w:ilvl="0">
      <w:lvlJc w:val="left"/>
      <w:lvlText w:val="(%1)"/>
      <w:numFmt w:val="lowerLetter"/>
      <w:start w:val="1"/>
    </w:lvl>
    <w:lvl w:ilvl="1">
      <w:lvlJc w:val="left"/>
      <w:lvlText w:val="(%2)"/>
      <w:numFmt w:val="lowerRoman"/>
      <w:start w:val="1"/>
    </w:lvl>
  </w:abstractNum>
  <w:abstractNum w:abstractNumId="255">
    <w:nsid w:val="4382503"/>
    <w:multiLevelType w:val="hybridMultilevel"/>
    <w:lvl w:ilvl="0">
      <w:lvlJc w:val="left"/>
      <w:lvlText w:val="(%1)"/>
      <w:numFmt w:val="lowerLetter"/>
      <w:start w:val="2"/>
    </w:lvl>
    <w:lvl w:ilvl="1">
      <w:lvlJc w:val="left"/>
      <w:lvlText w:val="(%2)"/>
      <w:numFmt w:val="lowerRoman"/>
      <w:start w:val="1"/>
    </w:lvl>
  </w:abstractNum>
  <w:abstractNum w:abstractNumId="256">
    <w:nsid w:val="59B76E2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7">
    <w:nsid w:val="4252C2D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58">
    <w:nsid w:val="6A92EF4C"/>
    <w:multiLevelType w:val="hybridMultilevel"/>
    <w:lvl w:ilvl="0">
      <w:lvlJc w:val="left"/>
      <w:lvlText w:val="%1"/>
      <w:numFmt w:val="decimal"/>
      <w:start w:val="1"/>
    </w:lvl>
    <w:lvl w:ilvl="1">
      <w:lvlJc w:val="left"/>
      <w:lvlText w:val="(%2)"/>
      <w:numFmt w:val="lowerLetter"/>
      <w:start w:val="4"/>
    </w:lvl>
  </w:abstractNum>
  <w:abstractNum w:abstractNumId="259">
    <w:nsid w:val="41ED20D7"/>
    <w:multiLevelType w:val="hybridMultilevel"/>
    <w:lvl w:ilvl="0">
      <w:lvlJc w:val="left"/>
      <w:lvlText w:val="%1."/>
      <w:numFmt w:val="decimal"/>
      <w:start w:val="8"/>
    </w:lvl>
    <w:lvl w:ilvl="1">
      <w:lvlJc w:val="left"/>
      <w:lvlText w:val="(%2)"/>
      <w:numFmt w:val="lowerLetter"/>
      <w:start w:val="1"/>
    </w:lvl>
  </w:abstractNum>
  <w:abstractNum w:abstractNumId="260">
    <w:nsid w:val="E6B3F6A"/>
    <w:multiLevelType w:val="hybridMultilevel"/>
    <w:lvl w:ilvl="0">
      <w:lvlJc w:val="left"/>
      <w:lvlText w:val="%1"/>
      <w:numFmt w:val="decimal"/>
      <w:start w:val="1"/>
    </w:lvl>
    <w:lvl w:ilvl="1">
      <w:lvlJc w:val="left"/>
      <w:lvlText w:val="(%2)"/>
      <w:numFmt w:val="lowerLetter"/>
      <w:start w:val="3"/>
    </w:lvl>
  </w:abstractNum>
  <w:abstractNum w:abstractNumId="261">
    <w:nsid w:val="3EB21819"/>
    <w:multiLevelType w:val="hybridMultilevel"/>
    <w:lvl w:ilvl="0">
      <w:lvlJc w:val="left"/>
      <w:lvlText w:val="%1."/>
      <w:numFmt w:val="decimal"/>
      <w:start w:val="9"/>
    </w:lvl>
    <w:lvl w:ilvl="1">
      <w:lvlJc w:val="left"/>
      <w:lvlText w:val="%2"/>
      <w:numFmt w:val="lowerLetter"/>
      <w:start w:val="1"/>
    </w:lvl>
  </w:abstractNum>
  <w:abstractNum w:abstractNumId="262">
    <w:nsid w:val="41531DED"/>
    <w:multiLevelType w:val="hybridMultilevel"/>
    <w:lvl w:ilvl="0">
      <w:lvlJc w:val="left"/>
      <w:lvlText w:val="%1."/>
      <w:numFmt w:val="decimal"/>
      <w:start w:val="13"/>
    </w:lvl>
  </w:abstractNum>
  <w:abstractNum w:abstractNumId="263">
    <w:nsid w:val="6353CD2"/>
    <w:multiLevelType w:val="hybridMultilevel"/>
    <w:lvl w:ilvl="0">
      <w:lvlJc w:val="left"/>
      <w:lvlText w:val="%1."/>
      <w:numFmt w:val="decimal"/>
      <w:start w:val="19"/>
    </w:lvl>
  </w:abstractNum>
  <w:abstractNum w:abstractNumId="264">
    <w:nsid w:val="683CAAD3"/>
    <w:multiLevelType w:val="hybridMultilevel"/>
    <w:lvl w:ilvl="0">
      <w:lvlJc w:val="left"/>
      <w:lvlText w:val="%1."/>
      <w:numFmt w:val="decimal"/>
      <w:start w:val="23"/>
    </w:lvl>
  </w:abstractNum>
  <w:abstractNum w:abstractNumId="265">
    <w:nsid w:val="313C7C99"/>
    <w:multiLevelType w:val="hybridMultilevel"/>
    <w:lvl w:ilvl="0">
      <w:lvlJc w:val="left"/>
      <w:lvlText w:val="%1."/>
      <w:numFmt w:val="decimal"/>
      <w:start w:val="1"/>
    </w:lvl>
    <w:lvl w:ilvl="1">
      <w:lvlJc w:val="left"/>
      <w:lvlText w:val="(%2)"/>
      <w:numFmt w:val="lowerLetter"/>
      <w:start w:val="1"/>
    </w:lvl>
  </w:abstractNum>
  <w:abstractNum w:abstractNumId="266">
    <w:nsid w:val="519EB94C"/>
    <w:multiLevelType w:val="hybridMultilevel"/>
    <w:lvl w:ilvl="0">
      <w:lvlJc w:val="left"/>
      <w:lvlText w:val="%1."/>
      <w:numFmt w:val="decimal"/>
      <w:start w:val="2"/>
    </w:lvl>
    <w:lvl w:ilvl="1">
      <w:lvlJc w:val="left"/>
      <w:lvlText w:val="(%2)"/>
      <w:numFmt w:val="lowerLetter"/>
      <w:start w:val="1"/>
    </w:lvl>
  </w:abstractNum>
  <w:abstractNum w:abstractNumId="267">
    <w:nsid w:val="39DF257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68">
    <w:nsid w:val="126E008B"/>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69">
    <w:nsid w:val="34DFBC0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270">
    <w:nsid w:val="1F9EC32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271">
    <w:nsid w:val="3410ED56"/>
    <w:multiLevelType w:val="hybridMultilevel"/>
    <w:lvl w:ilvl="0">
      <w:lvlJc w:val="left"/>
      <w:lvlText w:val="(%1)"/>
      <w:numFmt w:val="lowerRoman"/>
      <w:start w:val="1"/>
    </w:lvl>
  </w:abstractNum>
  <w:abstractNum w:abstractNumId="272">
    <w:nsid w:val="23C049A"/>
    <w:multiLevelType w:val="hybridMultilevel"/>
    <w:lvl w:ilvl="0">
      <w:lvlJc w:val="left"/>
      <w:lvlText w:val="(%1)"/>
      <w:numFmt w:val="lowerRoman"/>
      <w:start w:val="2"/>
    </w:lvl>
  </w:abstractNum>
  <w:abstractNum w:abstractNumId="273">
    <w:nsid w:val="5BDA35D4"/>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74">
    <w:nsid w:val="496FB21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75">
    <w:nsid w:val="680EA5D1"/>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276">
    <w:nsid w:val="4A9554FE"/>
    <w:multiLevelType w:val="hybridMultilevel"/>
    <w:lvl w:ilvl="0">
      <w:lvlJc w:val="left"/>
      <w:lvlText w:val="%1"/>
      <w:numFmt w:val="decimal"/>
      <w:start w:val="1"/>
    </w:lvl>
    <w:lvl w:ilvl="1">
      <w:lvlJc w:val="left"/>
      <w:lvlText w:val="(%2)"/>
      <w:numFmt w:val="lowerLetter"/>
      <w:start w:val="4"/>
    </w:lvl>
  </w:abstractNum>
  <w:abstractNum w:abstractNumId="277">
    <w:nsid w:val="392EDBE4"/>
    <w:multiLevelType w:val="hybridMultilevel"/>
    <w:lvl w:ilvl="0">
      <w:lvlJc w:val="left"/>
      <w:lvlText w:val="%1."/>
      <w:numFmt w:val="decimal"/>
      <w:start w:val="5"/>
    </w:lvl>
    <w:lvl w:ilvl="1">
      <w:lvlJc w:val="left"/>
      <w:lvlText w:val="(%2)"/>
      <w:numFmt w:val="lowerLetter"/>
      <w:start w:val="1"/>
    </w:lvl>
  </w:abstractNum>
  <w:abstractNum w:abstractNumId="278">
    <w:nsid w:val="3D1A2DD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79">
    <w:nsid w:val="7F618FCD"/>
    <w:multiLevelType w:val="hybridMultilevel"/>
    <w:lvl w:ilvl="0">
      <w:lvlJc w:val="left"/>
      <w:lvlText w:val="%1"/>
      <w:numFmt w:val="upperLetter"/>
      <w:start w:val="1"/>
    </w:lvl>
    <w:lvl w:ilvl="1">
      <w:lvlJc w:val="left"/>
      <w:lvlText w:val="(%2)"/>
      <w:numFmt w:val="lowerRoman"/>
      <w:start w:val="2"/>
    </w:lvl>
  </w:abstractNum>
  <w:abstractNum w:abstractNumId="280">
    <w:nsid w:val="7843E45"/>
    <w:multiLevelType w:val="hybridMultilevel"/>
    <w:lvl w:ilvl="0">
      <w:lvlJc w:val="left"/>
      <w:lvlText w:val="(%1)"/>
      <w:numFmt w:val="upperLetter"/>
      <w:start w:val="2"/>
    </w:lvl>
    <w:lvl w:ilvl="1">
      <w:lvlJc w:val="left"/>
      <w:lvlText w:val="(%2)"/>
      <w:numFmt w:val="lowerRoman"/>
      <w:start w:val="3"/>
    </w:lvl>
  </w:abstractNum>
  <w:abstractNum w:abstractNumId="281">
    <w:nsid w:val="9815DA3"/>
    <w:multiLevelType w:val="hybridMultilevel"/>
    <w:lvl w:ilvl="0">
      <w:lvlJc w:val="left"/>
      <w:lvlText w:val="(%1)"/>
      <w:numFmt w:val="upperLetter"/>
      <w:start w:val="2"/>
    </w:lvl>
    <w:lvl w:ilvl="1">
      <w:lvlJc w:val="left"/>
      <w:lvlText w:val="%2"/>
      <w:numFmt w:val="lowerRoman"/>
      <w:start w:val="1"/>
    </w:lvl>
  </w:abstractNum>
  <w:abstractNum w:abstractNumId="282">
    <w:nsid w:val="5204A191"/>
    <w:multiLevelType w:val="hybridMultilevel"/>
    <w:lvl w:ilvl="0">
      <w:lvlJc w:val="left"/>
      <w:lvlText w:val="(%1)"/>
      <w:numFmt w:val="lowerLetter"/>
      <w:start w:val="2"/>
    </w:lvl>
    <w:lvl w:ilvl="1">
      <w:lvlJc w:val="left"/>
      <w:lvlText w:val="(%2)"/>
      <w:numFmt w:val="lowerRoman"/>
      <w:start w:val="1"/>
    </w:lvl>
  </w:abstractNum>
  <w:abstractNum w:abstractNumId="283">
    <w:nsid w:val="4C73A9C6"/>
    <w:multiLevelType w:val="hybridMultilevel"/>
    <w:lvl w:ilvl="0">
      <w:lvlJc w:val="left"/>
      <w:lvlText w:val="%1."/>
      <w:numFmt w:val="decimal"/>
      <w:start w:val="7"/>
    </w:lvl>
    <w:lvl w:ilvl="1">
      <w:lvlJc w:val="left"/>
      <w:lvlText w:val="(%2)"/>
      <w:numFmt w:val="lowerLetter"/>
      <w:start w:val="1"/>
    </w:lvl>
  </w:abstractNum>
  <w:abstractNum w:abstractNumId="284">
    <w:nsid w:val="1C7E3C01"/>
    <w:multiLevelType w:val="hybridMultilevel"/>
    <w:lvl w:ilvl="0">
      <w:lvlJc w:val="left"/>
      <w:lvlText w:val="%1"/>
      <w:numFmt w:val="decimal"/>
      <w:start w:val="1"/>
    </w:lvl>
    <w:lvl w:ilvl="1">
      <w:lvlJc w:val="left"/>
      <w:lvlText w:val="(%2)"/>
      <w:numFmt w:val="lowerLetter"/>
      <w:start w:val="5"/>
    </w:lvl>
  </w:abstractNum>
  <w:abstractNum w:abstractNumId="285">
    <w:nsid w:val="1C2201FF"/>
    <w:multiLevelType w:val="hybridMultilevel"/>
    <w:lvl w:ilvl="0">
      <w:lvlJc w:val="left"/>
      <w:lvlText w:val="%1."/>
      <w:numFmt w:val="decimal"/>
      <w:start w:val="8"/>
    </w:lvl>
    <w:lvl w:ilvl="1">
      <w:lvlJc w:val="left"/>
      <w:lvlText w:val="(%2)"/>
      <w:numFmt w:val="lowerLetter"/>
      <w:start w:val="1"/>
    </w:lvl>
  </w:abstractNum>
  <w:abstractNum w:abstractNumId="286">
    <w:nsid w:val="50ABCEC9"/>
    <w:multiLevelType w:val="hybridMultilevel"/>
    <w:lvl w:ilvl="0">
      <w:lvlJc w:val="left"/>
      <w:lvlText w:val="%1"/>
      <w:numFmt w:val="decimal"/>
      <w:start w:val="1"/>
    </w:lvl>
    <w:lvl w:ilvl="1">
      <w:lvlJc w:val="left"/>
      <w:lvlText w:val="(%2)"/>
      <w:numFmt w:val="lowerLetter"/>
      <w:start w:val="4"/>
    </w:lvl>
  </w:abstractNum>
  <w:abstractNum w:abstractNumId="287">
    <w:nsid w:val="7635AA2A"/>
    <w:multiLevelType w:val="hybridMultilevel"/>
    <w:lvl w:ilvl="0">
      <w:lvlJc w:val="left"/>
      <w:lvlText w:val="%1."/>
      <w:numFmt w:val="decimal"/>
      <w:start w:val="9"/>
    </w:lvl>
    <w:lvl w:ilvl="1">
      <w:lvlJc w:val="left"/>
      <w:lvlText w:val="%2"/>
      <w:numFmt w:val="lowerLetter"/>
      <w:start w:val="1"/>
    </w:lvl>
  </w:abstractNum>
  <w:abstractNum w:abstractNumId="288">
    <w:nsid w:val="5E74C4D9"/>
    <w:multiLevelType w:val="hybridMultilevel"/>
    <w:lvl w:ilvl="0">
      <w:lvlJc w:val="left"/>
      <w:lvlText w:val="%1."/>
      <w:numFmt w:val="decimal"/>
      <w:start w:val="15"/>
    </w:lvl>
  </w:abstractNum>
  <w:abstractNum w:abstractNumId="289">
    <w:nsid w:val="3B3EBE15"/>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19" Type="http://schemas.openxmlformats.org/officeDocument/2006/relationships/image" Target="media/image398.png"/><Relationship Id="rId433"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pn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541" Type="http://schemas.openxmlformats.org/officeDocument/2006/relationships/image" Target="media/image506.png"/><Relationship Id="rId542" Type="http://schemas.openxmlformats.org/officeDocument/2006/relationships/image" Target="media/image507.png"/><Relationship Id="rId543" Type="http://schemas.openxmlformats.org/officeDocument/2006/relationships/image" Target="media/image508.png"/><Relationship Id="rId544" Type="http://schemas.openxmlformats.org/officeDocument/2006/relationships/image" Target="media/image509.png"/><Relationship Id="rId545" Type="http://schemas.openxmlformats.org/officeDocument/2006/relationships/image" Target="media/image510.png"/><Relationship Id="rId546" Type="http://schemas.openxmlformats.org/officeDocument/2006/relationships/image" Target="media/image511.png"/><Relationship Id="rId547"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0" Type="http://schemas.openxmlformats.org/officeDocument/2006/relationships/image" Target="media/image535.png"/><Relationship Id="rId571" Type="http://schemas.openxmlformats.org/officeDocument/2006/relationships/image" Target="media/image536.png"/><Relationship Id="rId572" Type="http://schemas.openxmlformats.org/officeDocument/2006/relationships/image" Target="media/image537.png"/><Relationship Id="rId573" Type="http://schemas.openxmlformats.org/officeDocument/2006/relationships/image" Target="media/image538.png"/><Relationship Id="rId574" Type="http://schemas.openxmlformats.org/officeDocument/2006/relationships/image" Target="media/image539.png"/><Relationship Id="rId575" Type="http://schemas.openxmlformats.org/officeDocument/2006/relationships/image" Target="media/image540.png"/><Relationship Id="rId576" Type="http://schemas.openxmlformats.org/officeDocument/2006/relationships/image" Target="media/image541.png"/><Relationship Id="rId577" Type="http://schemas.openxmlformats.org/officeDocument/2006/relationships/image" Target="media/image542.png"/><Relationship Id="rId578" Type="http://schemas.openxmlformats.org/officeDocument/2006/relationships/image" Target="media/image543.png"/><Relationship Id="rId579"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2" Type="http://schemas.openxmlformats.org/officeDocument/2006/relationships/image" Target="media/image547.png"/><Relationship Id="rId583" Type="http://schemas.openxmlformats.org/officeDocument/2006/relationships/image" Target="media/image548.png"/><Relationship Id="rId584" Type="http://schemas.openxmlformats.org/officeDocument/2006/relationships/image" Target="media/image549.png"/><Relationship Id="rId585" Type="http://schemas.openxmlformats.org/officeDocument/2006/relationships/image" Target="media/image550.png"/><Relationship Id="rId586" Type="http://schemas.openxmlformats.org/officeDocument/2006/relationships/image" Target="media/image551.png"/><Relationship Id="rId587" Type="http://schemas.openxmlformats.org/officeDocument/2006/relationships/image" Target="media/image552.png"/><Relationship Id="rId588" Type="http://schemas.openxmlformats.org/officeDocument/2006/relationships/image" Target="media/image553.png"/><Relationship Id="rId589" Type="http://schemas.openxmlformats.org/officeDocument/2006/relationships/image" Target="media/image554.png"/><Relationship Id="rId590" Type="http://schemas.openxmlformats.org/officeDocument/2006/relationships/image" Target="media/image555.png"/><Relationship Id="rId591" Type="http://schemas.openxmlformats.org/officeDocument/2006/relationships/image" Target="media/image556.png"/><Relationship Id="rId592" Type="http://schemas.openxmlformats.org/officeDocument/2006/relationships/image" Target="media/image557.png"/><Relationship Id="rId593" Type="http://schemas.openxmlformats.org/officeDocument/2006/relationships/image" Target="media/image558.png"/><Relationship Id="rId594" Type="http://schemas.openxmlformats.org/officeDocument/2006/relationships/image" Target="media/image559.png"/><Relationship Id="rId595" Type="http://schemas.openxmlformats.org/officeDocument/2006/relationships/image" Target="media/image560.png"/><Relationship Id="rId596" Type="http://schemas.openxmlformats.org/officeDocument/2006/relationships/image" Target="media/image561.png"/><Relationship Id="rId597" Type="http://schemas.openxmlformats.org/officeDocument/2006/relationships/image" Target="media/image562.png"/><Relationship Id="rId598" Type="http://schemas.openxmlformats.org/officeDocument/2006/relationships/image" Target="media/image563.png"/><Relationship Id="rId599" Type="http://schemas.openxmlformats.org/officeDocument/2006/relationships/image" Target="media/image564.png"/><Relationship Id="rId600" Type="http://schemas.openxmlformats.org/officeDocument/2006/relationships/image" Target="media/image565.png"/><Relationship Id="rId601" Type="http://schemas.openxmlformats.org/officeDocument/2006/relationships/image" Target="media/image566.png"/><Relationship Id="rId602" Type="http://schemas.openxmlformats.org/officeDocument/2006/relationships/image" Target="media/image567.png"/><Relationship Id="rId603" Type="http://schemas.openxmlformats.org/officeDocument/2006/relationships/image" Target="media/image568.png"/><Relationship Id="rId604" Type="http://schemas.openxmlformats.org/officeDocument/2006/relationships/image" Target="media/image569.png"/><Relationship Id="rId605" Type="http://schemas.openxmlformats.org/officeDocument/2006/relationships/image" Target="media/image570.png"/><Relationship Id="rId606" Type="http://schemas.openxmlformats.org/officeDocument/2006/relationships/image" Target="media/image571.png"/><Relationship Id="rId607" Type="http://schemas.openxmlformats.org/officeDocument/2006/relationships/image" Target="media/image572.png"/><Relationship Id="rId608" Type="http://schemas.openxmlformats.org/officeDocument/2006/relationships/image" Target="media/image573.png"/><Relationship Id="rId609" Type="http://schemas.openxmlformats.org/officeDocument/2006/relationships/image" Target="media/image574.png"/><Relationship Id="rId610" Type="http://schemas.openxmlformats.org/officeDocument/2006/relationships/image" Target="media/image575.png"/><Relationship Id="rId611" Type="http://schemas.openxmlformats.org/officeDocument/2006/relationships/image" Target="media/image576.png"/><Relationship Id="rId612" Type="http://schemas.openxmlformats.org/officeDocument/2006/relationships/image" Target="media/image577.png"/><Relationship Id="rId613" Type="http://schemas.openxmlformats.org/officeDocument/2006/relationships/image" Target="media/image578.png"/><Relationship Id="rId614" Type="http://schemas.openxmlformats.org/officeDocument/2006/relationships/image" Target="media/image579.png"/><Relationship Id="rId615" Type="http://schemas.openxmlformats.org/officeDocument/2006/relationships/image" Target="media/image580.png"/><Relationship Id="rId616" Type="http://schemas.openxmlformats.org/officeDocument/2006/relationships/image" Target="media/image581.png"/><Relationship Id="rId617" Type="http://schemas.openxmlformats.org/officeDocument/2006/relationships/image" Target="media/image582.png"/><Relationship Id="rId618" Type="http://schemas.openxmlformats.org/officeDocument/2006/relationships/image" Target="media/image583.png"/><Relationship Id="rId619" Type="http://schemas.openxmlformats.org/officeDocument/2006/relationships/image" Target="media/image584.png"/><Relationship Id="rId620" Type="http://schemas.openxmlformats.org/officeDocument/2006/relationships/image" Target="media/image585.png"/><Relationship Id="rId621" Type="http://schemas.openxmlformats.org/officeDocument/2006/relationships/image" Target="media/image586.png"/><Relationship Id="rId622" Type="http://schemas.openxmlformats.org/officeDocument/2006/relationships/image" Target="media/image587.png"/><Relationship Id="rId623" Type="http://schemas.openxmlformats.org/officeDocument/2006/relationships/image" Target="media/image588.png"/><Relationship Id="rId624" Type="http://schemas.openxmlformats.org/officeDocument/2006/relationships/image" Target="media/image589.png"/><Relationship Id="rId625" Type="http://schemas.openxmlformats.org/officeDocument/2006/relationships/image" Target="media/image590.png"/><Relationship Id="rId626" Type="http://schemas.openxmlformats.org/officeDocument/2006/relationships/image" Target="media/image591.png"/><Relationship Id="rId627" Type="http://schemas.openxmlformats.org/officeDocument/2006/relationships/image" Target="media/image592.png"/><Relationship Id="rId628" Type="http://schemas.openxmlformats.org/officeDocument/2006/relationships/image" Target="media/image593.png"/><Relationship Id="rId629" Type="http://schemas.openxmlformats.org/officeDocument/2006/relationships/image" Target="media/image594.png"/><Relationship Id="rId630" Type="http://schemas.openxmlformats.org/officeDocument/2006/relationships/image" Target="media/image595.png"/><Relationship Id="rId631" Type="http://schemas.openxmlformats.org/officeDocument/2006/relationships/image" Target="media/image596.png"/><Relationship Id="rId632" Type="http://schemas.openxmlformats.org/officeDocument/2006/relationships/image" Target="media/image597.png"/><Relationship Id="rId633" Type="http://schemas.openxmlformats.org/officeDocument/2006/relationships/image" Target="media/image598.png"/><Relationship Id="rId634" Type="http://schemas.openxmlformats.org/officeDocument/2006/relationships/image" Target="media/image599.png"/><Relationship Id="rId635" Type="http://schemas.openxmlformats.org/officeDocument/2006/relationships/image" Target="media/image600.png"/><Relationship Id="rId636" Type="http://schemas.openxmlformats.org/officeDocument/2006/relationships/image" Target="media/image601.png"/><Relationship Id="rId637" Type="http://schemas.openxmlformats.org/officeDocument/2006/relationships/image" Target="media/image602.png"/><Relationship Id="rId638" Type="http://schemas.openxmlformats.org/officeDocument/2006/relationships/image" Target="media/image603.png"/><Relationship Id="rId639" Type="http://schemas.openxmlformats.org/officeDocument/2006/relationships/image" Target="media/image604.png"/><Relationship Id="rId640" Type="http://schemas.openxmlformats.org/officeDocument/2006/relationships/image" Target="media/image605.png"/><Relationship Id="rId641" Type="http://schemas.openxmlformats.org/officeDocument/2006/relationships/image" Target="media/image606.png"/><Relationship Id="rId642" Type="http://schemas.openxmlformats.org/officeDocument/2006/relationships/image" Target="media/image607.png"/><Relationship Id="rId643" Type="http://schemas.openxmlformats.org/officeDocument/2006/relationships/image" Target="media/image608.png"/><Relationship Id="rId644" Type="http://schemas.openxmlformats.org/officeDocument/2006/relationships/image" Target="media/image609.png"/><Relationship Id="rId645" Type="http://schemas.openxmlformats.org/officeDocument/2006/relationships/image" Target="media/image610.png"/><Relationship Id="rId646" Type="http://schemas.openxmlformats.org/officeDocument/2006/relationships/image" Target="media/image611.png"/><Relationship Id="rId647" Type="http://schemas.openxmlformats.org/officeDocument/2006/relationships/image" Target="media/image612.png"/><Relationship Id="rId648" Type="http://schemas.openxmlformats.org/officeDocument/2006/relationships/image" Target="media/image613.png"/><Relationship Id="rId649" Type="http://schemas.openxmlformats.org/officeDocument/2006/relationships/image" Target="media/image614.png"/><Relationship Id="rId650" Type="http://schemas.openxmlformats.org/officeDocument/2006/relationships/image" Target="media/image615.png"/><Relationship Id="rId651" Type="http://schemas.openxmlformats.org/officeDocument/2006/relationships/image" Target="media/image616.png"/><Relationship Id="rId652" Type="http://schemas.openxmlformats.org/officeDocument/2006/relationships/image" Target="media/image617.png"/><Relationship Id="rId653" Type="http://schemas.openxmlformats.org/officeDocument/2006/relationships/image" Target="media/image618.png"/><Relationship Id="rId654" Type="http://schemas.openxmlformats.org/officeDocument/2006/relationships/image" Target="media/image619.png"/><Relationship Id="rId655" Type="http://schemas.openxmlformats.org/officeDocument/2006/relationships/image" Target="media/image620.png"/><Relationship Id="rId656" Type="http://schemas.openxmlformats.org/officeDocument/2006/relationships/image" Target="media/image621.png"/><Relationship Id="rId657" Type="http://schemas.openxmlformats.org/officeDocument/2006/relationships/image" Target="media/image622.png"/><Relationship Id="rId658" Type="http://schemas.openxmlformats.org/officeDocument/2006/relationships/image" Target="media/image623.png"/><Relationship Id="rId659" Type="http://schemas.openxmlformats.org/officeDocument/2006/relationships/image" Target="media/image624.png"/><Relationship Id="rId660" Type="http://schemas.openxmlformats.org/officeDocument/2006/relationships/image" Target="media/image625.png"/><Relationship Id="rId661" Type="http://schemas.openxmlformats.org/officeDocument/2006/relationships/image" Target="media/image626.png"/><Relationship Id="rId662" Type="http://schemas.openxmlformats.org/officeDocument/2006/relationships/image" Target="media/image627.png"/><Relationship Id="rId663" Type="http://schemas.openxmlformats.org/officeDocument/2006/relationships/image" Target="media/image628.png"/><Relationship Id="rId664" Type="http://schemas.openxmlformats.org/officeDocument/2006/relationships/image" Target="media/image629.png"/><Relationship Id="rId665" Type="http://schemas.openxmlformats.org/officeDocument/2006/relationships/image" Target="media/image630.png"/><Relationship Id="rId666" Type="http://schemas.openxmlformats.org/officeDocument/2006/relationships/image" Target="media/image631.png"/><Relationship Id="rId667" Type="http://schemas.openxmlformats.org/officeDocument/2006/relationships/image" Target="media/image632.png"/><Relationship Id="rId668" Type="http://schemas.openxmlformats.org/officeDocument/2006/relationships/image" Target="media/image633.png"/><Relationship Id="rId669" Type="http://schemas.openxmlformats.org/officeDocument/2006/relationships/image" Target="media/image634.png"/><Relationship Id="rId670" Type="http://schemas.openxmlformats.org/officeDocument/2006/relationships/image" Target="media/image635.png"/><Relationship Id="rId671" Type="http://schemas.openxmlformats.org/officeDocument/2006/relationships/image" Target="media/image636.png"/><Relationship Id="rId672" Type="http://schemas.openxmlformats.org/officeDocument/2006/relationships/image" Target="media/image637.png"/><Relationship Id="rId673" Type="http://schemas.openxmlformats.org/officeDocument/2006/relationships/image" Target="media/image638.png"/><Relationship Id="rId674" Type="http://schemas.openxmlformats.org/officeDocument/2006/relationships/image" Target="media/image639.png"/><Relationship Id="rId675" Type="http://schemas.openxmlformats.org/officeDocument/2006/relationships/image" Target="media/image640.png"/><Relationship Id="rId676" Type="http://schemas.openxmlformats.org/officeDocument/2006/relationships/image" Target="media/image641.png"/><Relationship Id="rId677" Type="http://schemas.openxmlformats.org/officeDocument/2006/relationships/image" Target="media/image642.png"/><Relationship Id="rId678" Type="http://schemas.openxmlformats.org/officeDocument/2006/relationships/image" Target="media/image643.png"/><Relationship Id="rId679" Type="http://schemas.openxmlformats.org/officeDocument/2006/relationships/image" Target="media/image644.png"/><Relationship Id="rId680" Type="http://schemas.openxmlformats.org/officeDocument/2006/relationships/image" Target="media/image645.png"/><Relationship Id="rId681" Type="http://schemas.openxmlformats.org/officeDocument/2006/relationships/image" Target="media/image646.png"/><Relationship Id="rId682" Type="http://schemas.openxmlformats.org/officeDocument/2006/relationships/image" Target="media/image647.png"/><Relationship Id="rId683" Type="http://schemas.openxmlformats.org/officeDocument/2006/relationships/image" Target="media/image648.png"/><Relationship Id="rId684" Type="http://schemas.openxmlformats.org/officeDocument/2006/relationships/image" Target="media/image649.png"/><Relationship Id="rId685" Type="http://schemas.openxmlformats.org/officeDocument/2006/relationships/image" Target="media/image650.png"/><Relationship Id="rId686" Type="http://schemas.openxmlformats.org/officeDocument/2006/relationships/image" Target="media/image651.png"/><Relationship Id="rId687" Type="http://schemas.openxmlformats.org/officeDocument/2006/relationships/image" Target="media/image652.png"/><Relationship Id="rId688" Type="http://schemas.openxmlformats.org/officeDocument/2006/relationships/image" Target="media/image653.png"/><Relationship Id="rId689" Type="http://schemas.openxmlformats.org/officeDocument/2006/relationships/image" Target="media/image654.png"/><Relationship Id="rId690" Type="http://schemas.openxmlformats.org/officeDocument/2006/relationships/image" Target="media/image655.png"/><Relationship Id="rId691" Type="http://schemas.openxmlformats.org/officeDocument/2006/relationships/image" Target="media/image656.png"/><Relationship Id="rId692" Type="http://schemas.openxmlformats.org/officeDocument/2006/relationships/image" Target="media/image657.png"/><Relationship Id="rId693" Type="http://schemas.openxmlformats.org/officeDocument/2006/relationships/image" Target="media/image658.png"/><Relationship Id="rId694" Type="http://schemas.openxmlformats.org/officeDocument/2006/relationships/image" Target="media/image659.png"/><Relationship Id="rId695" Type="http://schemas.openxmlformats.org/officeDocument/2006/relationships/image" Target="media/image660.png"/><Relationship Id="rId696" Type="http://schemas.openxmlformats.org/officeDocument/2006/relationships/image" Target="media/image661.png"/><Relationship Id="rId697" Type="http://schemas.openxmlformats.org/officeDocument/2006/relationships/image" Target="media/image662.png"/><Relationship Id="rId698" Type="http://schemas.openxmlformats.org/officeDocument/2006/relationships/image" Target="media/image663.png"/><Relationship Id="rId699" Type="http://schemas.openxmlformats.org/officeDocument/2006/relationships/image" Target="media/image664.png"/><Relationship Id="rId700" Type="http://schemas.openxmlformats.org/officeDocument/2006/relationships/image" Target="media/image665.png"/><Relationship Id="rId405" Type="http://schemas.openxmlformats.org/officeDocument/2006/relationships/hyperlink" Target="http://www.sec.gov/Archives/edgar/data/1703647/000119312523187318/d651936dex21.htm" TargetMode="External"/><Relationship Id="rId406" Type="http://schemas.openxmlformats.org/officeDocument/2006/relationships/hyperlink" Target="http://www.sec.gov/Archives/edgar/data/1703647/000119312519263787/d796545dex31.htm" TargetMode="External"/><Relationship Id="rId407" Type="http://schemas.openxmlformats.org/officeDocument/2006/relationships/hyperlink" Target="http://www.sec.gov/Archives/edgar/data/1703647/000119312523270898/d549338dex31.htm" TargetMode="External"/><Relationship Id="rId408" Type="http://schemas.openxmlformats.org/officeDocument/2006/relationships/hyperlink" Target="http://www.sec.gov/Archives/edgar/data/1703647/000119312523270898/d549338dex32.htm" TargetMode="External"/><Relationship Id="rId409" Type="http://schemas.openxmlformats.org/officeDocument/2006/relationships/hyperlink" Target="http://www.sec.gov/Archives/edgar/data/1703647/000119312520253994/d62983dex31.htm" TargetMode="External"/><Relationship Id="rId410" Type="http://schemas.openxmlformats.org/officeDocument/2006/relationships/hyperlink" Target="http://www.sec.gov/Archives/edgar/data/1703647/000119312523271471/d551267dex51.htm" TargetMode="External"/><Relationship Id="rId411" Type="http://schemas.openxmlformats.org/officeDocument/2006/relationships/hyperlink" Target="http://www.sec.gov/Archives/edgar/data/1703647/000119312523270898/d549338dex108.htm" TargetMode="External"/><Relationship Id="rId412" Type="http://schemas.openxmlformats.org/officeDocument/2006/relationships/hyperlink" Target="http://www.sec.gov/Archives/edgar/data/1703647/000119312523270898/d549338dex1011.htm" TargetMode="External"/><Relationship Id="rId413" Type="http://schemas.openxmlformats.org/officeDocument/2006/relationships/hyperlink" Target="http://www.sec.gov/Archives/edgar/data/1703647/000119312519239976/d72917dex101.htm" TargetMode="External"/><Relationship Id="rId414" Type="http://schemas.openxmlformats.org/officeDocument/2006/relationships/hyperlink" Target="http://www.sec.gov/Archives/edgar/data/1703647/000119312519251257/d72917dex102.htm" TargetMode="External"/><Relationship Id="rId415" Type="http://schemas.openxmlformats.org/officeDocument/2006/relationships/hyperlink" Target="http://www.sec.gov/Archives/edgar/data/1703647/000119312519251257/d72917dex1013.htm" TargetMode="External"/><Relationship Id="rId416" Type="http://schemas.openxmlformats.org/officeDocument/2006/relationships/hyperlink" Target="http://www.sec.gov/Archives/edgar/data/1703647/000119312523270898/d549338dex1012.htm" TargetMode="External"/><Relationship Id="rId417" Type="http://schemas.openxmlformats.org/officeDocument/2006/relationships/hyperlink" Target="http://www.sec.gov/Archives/edgar/data/1703647/000119312523277147/d416540dex101.htm" TargetMode="External"/><Relationship Id="rId418" Type="http://schemas.openxmlformats.org/officeDocument/2006/relationships/hyperlink" Target="http://www.sec.gov/Archives/edgar/data/1703647/000119312523277147/d416540dex102.htm" TargetMode="External"/><Relationship Id="rId420" Type="http://schemas.openxmlformats.org/officeDocument/2006/relationships/hyperlink" Target="http://www.sec.gov/Archives/edgar/data/1703647/000119312523270898/d549338dex106.htm" TargetMode="External"/><Relationship Id="rId421" Type="http://schemas.openxmlformats.org/officeDocument/2006/relationships/hyperlink" Target="http://www.sec.gov/Archives/edgar/data/1703647/000119312523270898/d549338dex107.htm" TargetMode="External"/><Relationship Id="rId422" Type="http://schemas.openxmlformats.org/officeDocument/2006/relationships/hyperlink" Target="http://www.sec.gov/Archives/edgar/data/1703647/000119312523226463/d451428dex1027.htm" TargetMode="External"/><Relationship Id="rId423" Type="http://schemas.openxmlformats.org/officeDocument/2006/relationships/hyperlink" Target="http://www.sec.gov/Archives/edgar/data/1703647/000119312523270898/d549338dex103.htm" TargetMode="External"/><Relationship Id="rId424" Type="http://schemas.openxmlformats.org/officeDocument/2006/relationships/hyperlink" Target="http://www.sec.gov/Archives/edgar/data/1703647/000119312523270898/d549338dex104.htm" TargetMode="External"/><Relationship Id="rId425" Type="http://schemas.openxmlformats.org/officeDocument/2006/relationships/hyperlink" Target="http://www.sec.gov/Archives/edgar/data/1703647/000119312523226463/d451428dex1021.htm" TargetMode="External"/><Relationship Id="rId426" Type="http://schemas.openxmlformats.org/officeDocument/2006/relationships/hyperlink" Target="http://www.sec.gov/Archives/edgar/data/1703647/000156459020012977/freq-ex1013_758.htm" TargetMode="External"/><Relationship Id="rId427" Type="http://schemas.openxmlformats.org/officeDocument/2006/relationships/hyperlink" Target="http://www.sec.gov/Archives/edgar/data/1703647/000119312522192035/d328479dex101.htm" TargetMode="External"/><Relationship Id="rId428" Type="http://schemas.openxmlformats.org/officeDocument/2006/relationships/hyperlink" Target="http://www.sec.gov/Archives/edgar/data/1703647/000119312523270898/d549338dex101.htm" TargetMode="External"/><Relationship Id="rId429" Type="http://schemas.openxmlformats.org/officeDocument/2006/relationships/hyperlink" Target="http://www.sec.gov/Archives/edgar/data/1703647/000119312523270898/d549338dex102.htm" TargetMode="External"/><Relationship Id="rId430" Type="http://schemas.openxmlformats.org/officeDocument/2006/relationships/hyperlink" Target="http://www.sec.gov/Archives/edgar/data/1703647/000119312523270898/d549338dex1013.htm" TargetMode="External"/><Relationship Id="rId431" Type="http://schemas.openxmlformats.org/officeDocument/2006/relationships/hyperlink" Target="http://www.sec.gov/Archives/edgar/data/1703647/000119312523270898/d549338dex161.htm" TargetMode="External"/><Relationship Id="rId432" Type="http://schemas.openxmlformats.org/officeDocument/2006/relationships/hyperlink" Target="http://www.sec.gov/Archives/edgar/data/1703647/000119312523271471/d551267ds3.htm#sig" TargetMode="External"/><Relationship Id="rId434" Type="http://schemas.openxmlformats.org/officeDocument/2006/relationships/hyperlink" Target="http://www.sec.gov/Archives/edgar/data/1703647/000119312523271471/d551267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2023-12-01T15:37:42Z</dcterms:created>
  <dcterms:modified xsi:type="dcterms:W3CDTF">2023-12-01T15:37:42Z</dcterms:modified>
</cp:coreProperties>
</file>