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150495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160020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FREQUENCY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001-39062</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47-2324450</w:t>
      </w:r>
    </w:p>
    <w:p>
      <w:pPr>
        <w:spacing w:after="0" w:line="13" w:lineRule="exact"/>
        <w:rPr>
          <w:sz w:val="24"/>
          <w:szCs w:val="24"/>
          <w:color w:val="auto"/>
        </w:rPr>
      </w:pPr>
    </w:p>
    <w:p>
      <w:pPr>
        <w:sectPr>
          <w:pgSz w:w="11900" w:h="16838" w:orient="portrait"/>
          <w:cols w:equalWidth="0" w:num="3">
            <w:col w:w="3600" w:space="720"/>
            <w:col w:w="1780" w:space="720"/>
            <w:col w:w="2199"/>
          </w:cols>
          <w:pgMar w:left="1440" w:top="29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23" w:lineRule="exact"/>
        <w:rPr>
          <w:sz w:val="24"/>
          <w:szCs w:val="24"/>
          <w:color w:val="auto"/>
        </w:rPr>
      </w:pPr>
    </w:p>
    <w:p>
      <w:pPr>
        <w:sectPr>
          <w:pgSz w:w="11900" w:h="16838" w:orient="portrait"/>
          <w:cols w:equalWidth="0" w:num="3">
            <w:col w:w="3580" w:space="720"/>
            <w:col w:w="1720" w:space="720"/>
            <w:col w:w="2279"/>
          </w:cols>
          <w:pgMar w:left="1440" w:top="29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75 Hayden Avenue, Suite 300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Lexington, MA 02421</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(781) 315-4600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include area code)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p>
      <w:pPr>
        <w:spacing w:after="0" w:line="34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Instructions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5"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6"/>
        </w:trPr>
        <w:tc>
          <w:tcPr>
            <w:tcW w:w="26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9"/>
              </w:rPr>
              <w:t>FREQ</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The Nasdaq Stock Market LLC (The Nasdaq</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Global Select Market)</w:t>
            </w:r>
          </w:p>
        </w:tc>
        <w:tc>
          <w:tcPr>
            <w:tcW w:w="0" w:type="dxa"/>
            <w:vAlign w:val="bottom"/>
          </w:tcPr>
          <w:p>
            <w:pPr>
              <w:spacing w:after="0"/>
              <w:rPr>
                <w:sz w:val="1"/>
                <w:szCs w:val="1"/>
                <w:color w:val="auto"/>
              </w:rPr>
            </w:pPr>
          </w:p>
        </w:tc>
      </w:tr>
    </w:tbl>
    <w:p>
      <w:pPr>
        <w:spacing w:after="0" w:line="101"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64" w:lineRule="exact"/>
        <w:rPr>
          <w:sz w:val="24"/>
          <w:szCs w:val="24"/>
          <w:color w:val="auto"/>
        </w:rPr>
      </w:pPr>
    </w:p>
    <w:p>
      <w:pPr>
        <w:ind w:left="61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7"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2"/>
          <w:szCs w:val="12"/>
          <w:b w:val="1"/>
          <w:bCs w:val="1"/>
          <w:color w:val="auto"/>
        </w:rPr>
        <w:t>Costs associated with Exit or Disposal Activities</w:t>
      </w:r>
    </w:p>
    <w:p>
      <w:pPr>
        <w:spacing w:after="0" w:line="80"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On April 8, 2022, Frequency Therapeutics, Inc. (the “Company”) announced a reduction in force (the “Reduction”) of approximately 30% of its workforce. The purpose of the Reduction, which was approved by the Board of Directors (the “Board”) of the Company on April 5, 2022, is to better align the Company’s workforce with the needs of its business and focus more of its capital resources on its clinical program for its lead candidate for hearing restoration (FX-322); a second pre-clinical program for hearing restoration (FX-345); and a pre-clinical program for remyelination in Multiple Sclerosis. These changes will preserve capital, ensuring that the Company is appropriately resourced to advance its pipeline of potential first-in-class treatments through key development milestones. These milestones are the completion of the Phase 2b study of FX-322, a Phase 1b study of FX-345, and a Phase 1 study in the Multiple Sclerosis program.</w:t>
      </w:r>
    </w:p>
    <w:p>
      <w:pPr>
        <w:spacing w:after="0" w:line="136"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A majority of the Reduction has already taken place, and the remainder will be completed by July 31, 2022, though all impacted employees have been notified. The total costs related to the Reduction are estimated to be approximately $1.2 million in future cash outlays primarily related to severance costs and related expenses.</w:t>
      </w:r>
    </w:p>
    <w:p>
      <w:pPr>
        <w:spacing w:after="0" w:line="232" w:lineRule="exact"/>
        <w:rPr>
          <w:sz w:val="20"/>
          <w:szCs w:val="20"/>
          <w:color w:val="auto"/>
        </w:rPr>
      </w:pPr>
    </w:p>
    <w:p>
      <w:pPr>
        <w:ind w:left="1480" w:right="1359" w:hanging="842"/>
        <w:spacing w:after="0" w:line="270" w:lineRule="auto"/>
        <w:tabs>
          <w:tab w:leader="none" w:pos="1460" w:val="left"/>
        </w:tabs>
        <w:rPr>
          <w:sz w:val="20"/>
          <w:szCs w:val="20"/>
          <w:color w:val="auto"/>
        </w:rPr>
      </w:pPr>
      <w:r>
        <w:rPr>
          <w:rFonts w:ascii="Times New Roman" w:cs="Times New Roman" w:eastAsia="Times New Roman" w:hAnsi="Times New Roman"/>
          <w:sz w:val="13"/>
          <w:szCs w:val="13"/>
          <w:b w:val="1"/>
          <w:bCs w:val="1"/>
          <w:color w:val="auto"/>
        </w:rPr>
        <w:t>Item 5.02.</w:t>
      </w:r>
      <w:r>
        <w:rPr>
          <w:sz w:val="20"/>
          <w:szCs w:val="20"/>
          <w:color w:val="auto"/>
        </w:rPr>
        <w:tab/>
      </w: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On April 5, 2022, the Board appointed Richard M. Mitrano, the Company’s Vice President of Finance and Operations, as the Company’s principal financial officer and principal accounting officer, succeeding Peter P. Pfreundschuh, the Company’s former Chief Financial Officer.</w:t>
      </w:r>
    </w:p>
    <w:p>
      <w:pPr>
        <w:spacing w:after="0" w:line="12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Richard M. Mitrano, 51, has served as the Company’s Vice President of Finance and Operations since July 2016. From 2012 to 2015, Mr. Mitrano served as the Director of Finance and Operations of Semprus, where he oversaw all accounting and finance operations and provided strategic direction and oversight. Prior to Semprus, Mr. Mitrano was a contract Accounting Manager for Predictive Biosciences, Inc. (“Predictive”), a diagnostics company, from 2010 to 2012. Prior to Predictive, from 2008 to 2010, Mr. Mitrano served as Corporate Controller of Pioneer Behavioral Health, a company providing behavioral health services. Mr. Mitrano holds a B.A. in Accounting from Bentley University.</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80" w:lineRule="exact"/>
        <w:rPr>
          <w:sz w:val="20"/>
          <w:szCs w:val="20"/>
          <w:color w:val="auto"/>
        </w:rPr>
      </w:pPr>
    </w:p>
    <w:p>
      <w:pPr>
        <w:ind w:left="640" w:right="1159"/>
        <w:spacing w:after="0" w:line="309" w:lineRule="auto"/>
        <w:rPr>
          <w:sz w:val="20"/>
          <w:szCs w:val="20"/>
          <w:color w:val="auto"/>
        </w:rPr>
      </w:pPr>
      <w:r>
        <w:rPr>
          <w:rFonts w:ascii="Times New Roman" w:cs="Times New Roman" w:eastAsia="Times New Roman" w:hAnsi="Times New Roman"/>
          <w:sz w:val="12"/>
          <w:szCs w:val="12"/>
          <w:color w:val="auto"/>
        </w:rPr>
        <w:t>On April 8, 2022, the Company posted an updated corporate slide presentation in the “Investors &amp; Media” portion of its website at www.frequencytx.com. A copy of the slide presentation is attached as Exhibit 99.1 to this Current Report on Form 8-K (the “Current Report”).</w:t>
      </w:r>
    </w:p>
    <w:p>
      <w:pPr>
        <w:spacing w:after="0" w:line="10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information in Item 7.01 of this Current Report,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 The Company undertakes no obligation to update, supplement or amend the materials attached hereto as Exhibit 99.1.</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Exhibits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following Exhibit 99.1 relates to Item 7.01, and shall be deemed to be furnished, and not filed:</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6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rPr>
              <w:t>No.</w:t>
            </w:r>
          </w:p>
        </w:tc>
        <w:tc>
          <w:tcPr>
            <w:tcW w:w="360" w:type="dxa"/>
            <w:vAlign w:val="bottom"/>
          </w:tcPr>
          <w:p>
            <w:pPr>
              <w:spacing w:after="0"/>
              <w:rPr>
                <w:sz w:val="10"/>
                <w:szCs w:val="10"/>
                <w:color w:val="auto"/>
              </w:rPr>
            </w:pPr>
          </w:p>
        </w:tc>
        <w:tc>
          <w:tcPr>
            <w:tcW w:w="4060" w:type="dxa"/>
            <w:vAlign w:val="bottom"/>
            <w:gridSpan w:val="3"/>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8"/>
        </w:trPr>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7"/>
                <w:szCs w:val="17"/>
                <w:color w:val="auto"/>
              </w:rPr>
            </w:pPr>
          </w:p>
        </w:tc>
        <w:tc>
          <w:tcPr>
            <w:tcW w:w="4060" w:type="dxa"/>
            <w:vAlign w:val="bottom"/>
            <w:gridSpan w:val="3"/>
          </w:tcPr>
          <w:p>
            <w:pPr>
              <w:spacing w:after="0"/>
              <w:rPr>
                <w:rFonts w:ascii="Times New Roman" w:cs="Times New Roman" w:eastAsia="Times New Roman" w:hAnsi="Times New Roman"/>
                <w:sz w:val="13"/>
                <w:szCs w:val="13"/>
                <w:color w:val="0000EE"/>
                <w:w w:val="99"/>
              </w:rPr>
            </w:pPr>
            <w:hyperlink w:anchor="page5">
              <w:r>
                <w:rPr>
                  <w:rFonts w:ascii="Times New Roman" w:cs="Times New Roman" w:eastAsia="Times New Roman" w:hAnsi="Times New Roman"/>
                  <w:sz w:val="13"/>
                  <w:szCs w:val="13"/>
                  <w:color w:val="0000EE"/>
                  <w:w w:val="99"/>
                </w:rPr>
                <w:t>Frequency Therapeutics, Inc. Corporate Slide Presentation as of April 8, 2022</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420" w:type="dxa"/>
            <w:vAlign w:val="bottom"/>
          </w:tcPr>
          <w:p>
            <w:pPr>
              <w:spacing w:after="0"/>
              <w:rPr>
                <w:sz w:val="14"/>
                <w:szCs w:val="14"/>
                <w:color w:val="auto"/>
              </w:rPr>
            </w:pPr>
          </w:p>
        </w:tc>
        <w:tc>
          <w:tcPr>
            <w:tcW w:w="5320" w:type="dxa"/>
            <w:vAlign w:val="bottom"/>
            <w:gridSpan w:val="2"/>
          </w:tcPr>
          <w:p>
            <w:pPr>
              <w:ind w:left="1460"/>
              <w:spacing w:after="0"/>
              <w:rPr>
                <w:sz w:val="20"/>
                <w:szCs w:val="20"/>
                <w:color w:val="auto"/>
              </w:rPr>
            </w:pPr>
            <w:r>
              <w:rPr>
                <w:rFonts w:ascii="Times New Roman" w:cs="Times New Roman" w:eastAsia="Times New Roman" w:hAnsi="Times New Roman"/>
                <w:sz w:val="13"/>
                <w:szCs w:val="13"/>
                <w:color w:val="auto"/>
              </w:rPr>
              <w:t>FREQUENCY THERAPEUTICS, INC.</w:t>
            </w: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Date: April 8, 2022</w:t>
            </w:r>
          </w:p>
        </w:tc>
        <w:tc>
          <w:tcPr>
            <w:tcW w:w="19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David L. Lucchino</w:t>
            </w:r>
          </w:p>
        </w:tc>
      </w:tr>
      <w:tr>
        <w:trPr>
          <w:trHeight w:val="138"/>
        </w:trPr>
        <w:tc>
          <w:tcPr>
            <w:tcW w:w="2420" w:type="dxa"/>
            <w:vAlign w:val="bottom"/>
          </w:tcPr>
          <w:p>
            <w:pPr>
              <w:spacing w:after="0"/>
              <w:rPr>
                <w:sz w:val="11"/>
                <w:szCs w:val="11"/>
                <w:color w:val="auto"/>
              </w:rPr>
            </w:pPr>
          </w:p>
        </w:tc>
        <w:tc>
          <w:tcPr>
            <w:tcW w:w="1900" w:type="dxa"/>
            <w:vAlign w:val="bottom"/>
          </w:tcPr>
          <w:p>
            <w:pPr>
              <w:ind w:left="146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David L. Lucchino</w:t>
            </w:r>
          </w:p>
        </w:tc>
      </w:tr>
      <w:tr>
        <w:trPr>
          <w:trHeight w:val="165"/>
        </w:trPr>
        <w:tc>
          <w:tcPr>
            <w:tcW w:w="2420" w:type="dxa"/>
            <w:vAlign w:val="bottom"/>
          </w:tcPr>
          <w:p>
            <w:pPr>
              <w:spacing w:after="0"/>
              <w:rPr>
                <w:sz w:val="14"/>
                <w:szCs w:val="1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ectPr>
          <w:pgSz w:w="11900" w:h="16838" w:orient="portrait"/>
          <w:cols w:equalWidth="0" w:num="1">
            <w:col w:w="9019"/>
          </w:cols>
          <w:pgMar w:left="1440" w:top="248"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2022-04-08T16:19:52Z</dcterms:created>
  <dcterms:modified xsi:type="dcterms:W3CDTF">2022-04-08T16:19:52Z</dcterms:modified>
</cp:coreProperties>
</file>