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0.jpeg" ContentType="image/jpeg"/>
  <Override PartName="/word/media/image8.jpeg" ContentType="image/jpeg"/>
  <Override PartName="/word/media/image9.gif" ContentType="image/gif"/>
  <Override PartName="/word/media/image13.jpeg" ContentType="image/jpeg"/>
  <Override PartName="/word/media/image12.jpeg" ContentType="image/jpeg"/>
  <Override PartName="/word/media/image7.jpeg" ContentType="image/jpeg"/>
  <Override PartName="/word/media/image11.jpeg" ContentType="image/jpeg"/>
  <Override PartName="/word/media/image6.jpeg" ContentType="image/jpeg"/>
  <Override PartName="/word/media/image5.gif" ContentType="image/gif"/>
  <Override PartName="/word/media/image1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23.gif" ContentType="image/gif"/>
  <Override PartName="/word/media/image17.jpeg" ContentType="image/jpeg"/>
  <Override PartName="/word/media/image2.jpeg" ContentType="image/jpeg"/>
  <Override PartName="/word/media/image3.jpeg" ContentType="image/jpeg"/>
  <Override PartName="/word/media/image22.gif" ContentType="image/gif"/>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krro-20251231.htm"/>
      <w:bookmarkStart w:id="1" w:name="kskrro2025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172" w:type="dxa"/>
        <w:jc w:val="left"/>
        <w:tblInd w:w="0" w:type="dxa"/>
        <w:tblLayout w:type="fixed"/>
        <w:tblCellMar>
          <w:top w:w="28" w:type="dxa"/>
          <w:left w:w="28" w:type="dxa"/>
          <w:bottom w:w="28" w:type="dxa"/>
          <w:right w:w="28" w:type="dxa"/>
        </w:tblCellMar>
      </w:tblPr>
      <w:tblGrid>
        <w:gridCol w:w="331"/>
        <w:gridCol w:w="9841"/>
      </w:tblGrid>
      <w:tr>
        <w:trPr/>
        <w:tc>
          <w:tcPr>
            <w:tcW w:w="331"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 FOR</w:t>
            </w:r>
          </w:p>
          <w:p>
            <w:pPr>
              <w:pStyle w:val="TableContents"/>
              <w:bidi w:val="0"/>
              <w:spacing w:before="60" w:after="283"/>
              <w:jc w:val="center"/>
              <w:rPr>
                <w:rFonts w:ascii="Times New Roman" w:hAnsi="Times New Roman"/>
                <w:sz w:val="18"/>
              </w:rPr>
            </w:pPr>
            <w:r>
              <w:rPr>
                <w:rFonts w:ascii="Times New Roman" w:hAnsi="Times New Roman"/>
                <w:b/>
                <w:color w:val="000000"/>
                <w:sz w:val="18"/>
              </w:rPr>
              <w:t>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001-39062</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Korro Bio,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4367" w:type="dxa"/>
        <w:jc w:val="left"/>
        <w:tblInd w:w="0" w:type="dxa"/>
        <w:tblLayout w:type="fixed"/>
        <w:tblCellMar>
          <w:top w:w="28" w:type="dxa"/>
          <w:left w:w="28" w:type="dxa"/>
          <w:bottom w:w="28" w:type="dxa"/>
          <w:right w:w="28" w:type="dxa"/>
        </w:tblCellMar>
      </w:tblPr>
      <w:tblGrid>
        <w:gridCol w:w="3121"/>
        <w:gridCol w:w="1246"/>
      </w:tblGrid>
      <w:tr>
        <w:trPr/>
        <w:tc>
          <w:tcPr>
            <w:tcW w:w="31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47-2324450</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12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60 First Street, 2nd Floor, Suite 250</w:t>
              <w:br/>
              <w:t>Cambridge,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Registrant’s telephone number, including area code: (617)</w:t>
      </w:r>
      <w:r>
        <w:rPr>
          <w:rFonts w:ascii="Times New Roman" w:hAnsi="Times New Roman"/>
          <w:color w:val="000000"/>
          <w:sz w:val="20"/>
        </w:rPr>
        <w:t xml:space="preserve"> </w:t>
      </w:r>
      <w:r>
        <w:rPr>
          <w:rFonts w:ascii="Times New Roman" w:hAnsi="Times New Roman"/>
          <w:b/>
          <w:color w:val="000000"/>
          <w:sz w:val="18"/>
        </w:rPr>
        <w:t>468-1999</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3121"/>
        <w:gridCol w:w="146"/>
        <w:gridCol w:w="826"/>
        <w:gridCol w:w="146"/>
        <w:gridCol w:w="3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2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17"/>
              </w:rPr>
            </w:pPr>
            <w:r>
              <w:rPr>
                <w:rFonts w:ascii="Times New Roman" w:hAnsi="Times New Roman"/>
                <w:color w:val="000000"/>
                <w:sz w:val="17"/>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40"/>
              <w:jc w:val="center"/>
              <w:rPr/>
            </w:pPr>
            <w:r>
              <w:rPr/>
              <w:t> </w:t>
            </w:r>
          </w:p>
        </w:tc>
        <w:tc>
          <w:tcPr>
            <w:tcW w:w="82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17"/>
              </w:rPr>
            </w:pPr>
            <w:r>
              <w:rPr>
                <w:rFonts w:ascii="Times New Roman" w:hAnsi="Times New Roman"/>
                <w:color w:val="000000"/>
                <w:sz w:val="17"/>
              </w:rPr>
              <w:t>KRRO</w:t>
            </w:r>
          </w:p>
        </w:tc>
        <w:tc>
          <w:tcPr>
            <w:tcW w:w="146" w:type="dxa"/>
            <w:tcBorders/>
            <w:tcMar>
              <w:top w:w="0" w:type="dxa"/>
              <w:left w:w="0" w:type="dxa"/>
              <w:bottom w:w="0" w:type="dxa"/>
              <w:right w:w="0" w:type="dxa"/>
            </w:tcMar>
            <w:vAlign w:val="center"/>
          </w:tcPr>
          <w:p>
            <w:pPr>
              <w:pStyle w:val="TableContents"/>
              <w:bidi w:val="0"/>
              <w:spacing w:before="0" w:after="40"/>
              <w:jc w:val="center"/>
              <w:rPr/>
            </w:pPr>
            <w:r>
              <w:rPr/>
              <w:t> </w:t>
            </w:r>
          </w:p>
        </w:tc>
        <w:tc>
          <w:tcPr>
            <w:tcW w:w="331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sz w:val="20"/>
              </w:rPr>
            </w:pPr>
            <w:r>
              <w:rPr>
                <w:rFonts w:ascii="Times New Roman" w:hAnsi="Times New Roman"/>
                <w:color w:val="000000"/>
                <w:sz w:val="17"/>
              </w:rPr>
              <w:t>The Nasdaq</w:t>
            </w:r>
            <w:r>
              <w:rPr>
                <w:rFonts w:ascii="Times New Roman" w:hAnsi="Times New Roman"/>
                <w:color w:val="000000"/>
                <w:sz w:val="20"/>
              </w:rPr>
              <w:t> </w:t>
            </w:r>
            <w:r>
              <w:rPr>
                <w:rFonts w:ascii="Times New Roman" w:hAnsi="Times New Roman"/>
                <w:color w:val="000000"/>
                <w:sz w:val="17"/>
              </w:rPr>
              <w:t>Capital Market</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267" w:type="dxa"/>
        <w:jc w:val="left"/>
        <w:tblInd w:w="0" w:type="dxa"/>
        <w:tblLayout w:type="fixed"/>
        <w:tblCellMar>
          <w:top w:w="28" w:type="dxa"/>
          <w:left w:w="28" w:type="dxa"/>
          <w:bottom w:w="28" w:type="dxa"/>
          <w:right w:w="28" w:type="dxa"/>
        </w:tblCellMar>
      </w:tblPr>
      <w:tblGrid>
        <w:gridCol w:w="1411"/>
        <w:gridCol w:w="146"/>
        <w:gridCol w:w="316"/>
        <w:gridCol w:w="146"/>
        <w:gridCol w:w="1741"/>
        <w:gridCol w:w="146"/>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aggregate market value of the voting and non-voting common equity held by non-affiliates of the registrant, based on the closing price of the shares of common stock on The Nasdaq Capital Market on June 30, 2025, was $88,968,431.</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March 10, 2026 was 14,422,571.</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The registrant intends to file a definitive proxy statement pursuant to Regulation 14A relating to the 2026 annual meeting of stockholders within 120 days of the end of the registrant’s fiscal year ended December 31, 2025. Portions of such definitive proxy statement are incorporated by reference into Part III of this Annual Report on Form 10-K to the extent stated herein.</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4"/>
        <w:gridCol w:w="8525"/>
        <w:gridCol w:w="756"/>
      </w:tblGrid>
      <w:tr>
        <w:trPr/>
        <w:tc>
          <w:tcPr>
            <w:tcW w:w="924" w:type="dxa"/>
            <w:tcBorders/>
            <w:vAlign w:val="center"/>
          </w:tcPr>
          <w:p>
            <w:pPr>
              <w:pStyle w:val="TableContents"/>
              <w:bidi w:val="0"/>
              <w:spacing w:before="0" w:after="283"/>
              <w:jc w:val="left"/>
              <w:rPr>
                <w:sz w:val="4"/>
                <w:szCs w:val="4"/>
              </w:rPr>
            </w:pPr>
            <w:r>
              <w:rPr>
                <w:sz w:val="4"/>
                <w:szCs w:val="4"/>
              </w:rPr>
            </w:r>
          </w:p>
        </w:tc>
        <w:tc>
          <w:tcPr>
            <w:tcW w:w="852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20"/>
                  <w:u w:val="single"/>
                </w:rPr>
                <w:t>Business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b_unresolved_staff_comments">
              <w:r>
                <w:rPr>
                  <w:rStyle w:val="InternetLink"/>
                  <w:rFonts w:ascii="Times New Roman" w:hAnsi="Times New Roman"/>
                  <w:color w:val="0000FF"/>
                  <w:sz w:val="20"/>
                  <w:u w:val="single"/>
                </w:rPr>
                <w:t>Unresolved Staff Comments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97</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Cybersecurity</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97</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_properties">
              <w:r>
                <w:rPr>
                  <w:rStyle w:val="InternetLink"/>
                  <w:rFonts w:ascii="Times New Roman" w:hAnsi="Times New Roman"/>
                  <w:color w:val="0000FF"/>
                  <w:sz w:val="20"/>
                  <w:u w:val="single"/>
                </w:rPr>
                <w:t>Properties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legal_proceedings">
              <w:r>
                <w:rPr>
                  <w:rStyle w:val="InternetLink"/>
                  <w:rFonts w:ascii="Times New Roman" w:hAnsi="Times New Roman"/>
                  <w:color w:val="0000FF"/>
                  <w:sz w:val="20"/>
                  <w:u w:val="single"/>
                </w:rPr>
                <w:t>Legal Proceedings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[Reserved]</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99</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_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100</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
              <w:r>
                <w:rPr>
                  <w:rStyle w:val="InternetLink"/>
                  <w:rFonts w:ascii="Times New Roman" w:hAnsi="Times New Roman"/>
                  <w:color w:val="0000FF"/>
                  <w:sz w:val="20"/>
                  <w:u w:val="single"/>
                </w:rPr>
                <w:t>Quantitative and Qualitative Disclosures About Market Risk</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
              <w:r>
                <w:rPr>
                  <w:rStyle w:val="InternetLink"/>
                  <w:rFonts w:ascii="Times New Roman" w:hAnsi="Times New Roman"/>
                  <w:color w:val="0000FF"/>
                  <w:sz w:val="20"/>
                  <w:u w:val="single"/>
                </w:rPr>
                <w:t>Financial Statements and Supplementary Data</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F-110</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Changes in and Disagreements with Accountants on Accounting and Financial Disclosure</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137</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137</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5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
              <w:r>
                <w:rPr>
                  <w:rStyle w:val="InternetLink"/>
                  <w:rFonts w:ascii="Times New Roman" w:hAnsi="Times New Roman"/>
                  <w:color w:val="0000FF"/>
                  <w:sz w:val="20"/>
                  <w:u w:val="single"/>
                </w:rPr>
                <w:t>Other Information</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137</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Directors, Executive Officers and Corporate Governance</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Executive Compensation</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Security Ownership of Certain Beneficial Owners and Management and Related Stockholder Matters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Principal Accountant Fees and Services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 and Financial Statement Schedules</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139</w:t>
            </w:r>
          </w:p>
        </w:tc>
      </w:tr>
      <w:tr>
        <w:trPr/>
        <w:tc>
          <w:tcPr>
            <w:tcW w:w="92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5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Form 10-K Summary</w:t>
              </w:r>
            </w:hyperlink>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otherwise indicates, references in this Annual Report on 10-K to the “Company,” the "combined company," “we,” “our” and “us” refer, collectively, to Korro Bio, Inc., a Delaware corporation, and its consolidated subsidiaries (including Legacy Korro) after completion of our November 2023 business combination. The term “Legacy Korro” refers to privately held Korro Bio Ops, Inc. (formerly known as Korro Bio, Inc.), which we acquired in the November 2023 business combination. The term "Frequency" refers to our company, Frequency Therapeutics, Inc., prior to completion of our November 2023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various trademarks and trade names in our business, including without limitation our corporate name and logo. All other trademarks or trade names referred to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to the fullest extent under applicable law, their rights thereto.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Annual Report, when we refer to our leads or lead candidates, we are referring to our oligonucleotides that we are researching for potential nomination as a development candidate. When we refer to our development candidates, we generally mean an oligonucleotide lead candidate that we have nominated for clinical development.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includes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express or implied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express or implied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results, and cost of our KRRO-121 development program, including our ability to submit a regulatory application in the second half of 2026 for KRRO-121;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expected nomination of a development candidate for our next-generation GalNAc-conjugated alpha-1 antitrypsin deficiency, or AATD,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results, cost of and other statements regarding our research and development programs and our current and future preclinical studies and clinical trials, including statements regarding the timing of initiation and completion of studies or trials and related preparatory work, and the period during which the results of the trials will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runway and ability to reach meaningful clinical data readouts and data inflection 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our organizational streamlining and workforce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and commercial potential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and other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arrangement with Novo Nordisk A/S, or Novo Nordisk, including effects of the recent pause, and any future collaboration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and the impact of, regulatory requirements, obligations and restrictions on our business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and operate our business without infringing upon the intellectual property rights of others, including our ability to obtain and maintain rights to the technologies required to develop and commercialize our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developments, including the impact on our competitive position of rival products and development candidates and our ability to meet such competition;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the growth of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including those set forth under the heading “</w:t>
      </w:r>
      <w:r>
        <w:rPr>
          <w:rFonts w:ascii="Times New Roman" w:hAnsi="Times New Roman"/>
          <w:i/>
          <w:color w:val="000000"/>
          <w:sz w:val="20"/>
        </w:rPr>
        <w:t>Risk Factors</w:t>
      </w:r>
      <w:r>
        <w:rPr>
          <w:rFonts w:ascii="Times New Roman" w:hAnsi="Times New Roman"/>
          <w:color w:val="000000"/>
          <w:sz w:val="20"/>
        </w:rPr>
        <w:t>” in Part I, Item 1A of this Annual Report on Form 10-K. Given these risks and uncertainties, you should not place undue reliance on these forward-looking statements. Should one or more of the risks or uncertainties described in this Annual Report on Form 10-K, or should underlying assumptions prove incorrect, actual results and plans could differ materially from those expressed in any forward-looking statements. Except as otherwise required by applicable law, we disclaim any duty to update any forward-looking statements, all of which are expressly qualified by the statements in this section, to reflect events or circumstances after the date of this annual report. We qualify all of our forward-looking statements by these cautionary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sz w:val="20"/>
        </w:rPr>
      </w:pPr>
      <w:r>
        <w:rPr>
          <w:rFonts w:ascii="Times New Roman" w:hAnsi="Times New Roman"/>
          <w:color w:val="000000"/>
          <w:sz w:val="20"/>
        </w:rPr>
        <w:t>Our business involves significant risks. Below is a summary of the material risks that our business faces, which makes an investment in our securities speculative and risky. This summary does not address all these risks. These risks are more fully described below under the heading “</w:t>
      </w:r>
      <w:r>
        <w:rPr>
          <w:rFonts w:ascii="Times New Roman" w:hAnsi="Times New Roman"/>
          <w:i/>
          <w:color w:val="000000"/>
          <w:sz w:val="20"/>
        </w:rPr>
        <w:t>Risk Factors</w:t>
      </w:r>
      <w:r>
        <w:rPr>
          <w:rFonts w:ascii="Times New Roman" w:hAnsi="Times New Roman"/>
          <w:color w:val="000000"/>
          <w:sz w:val="20"/>
        </w:rPr>
        <w:t>” in Part I, Item 1A of this Annual Report on Form 10-K. Before making investment decisions regarding our securities, you should carefully consider these risks. The occurrence of any of the events or developments described below could have a material adverse effect on our business, results of operations, financial condition, prospects and stock price. In such event, the market price of our securities could decline, and you could lose all or part of your investment. Further, there are additional risks not described below that are either not currently known to us or that we currently deem immaterial, and these additional risks could also materially impair our business, operations or market price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have incurred significant losses since inception and expect to incur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have never generated revenue from product sales and may never become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will need substantial additional funding. If we are unable to raise capital when needed, we will be forced to delay, reduce, eliminate or prioritize among our research and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If preclinical studies or clinical trials of any lead candidates or development candidates fail to demonstrate safety and efficacy to the satisfaction of regulatory authorities or do not otherwise produce positive results (such as we experienced in the Phase 1/2a REWRITE clinical trial of KRRO-110 for AATD), we may incur additional costs or experience delays in completing, or ultimately be unable to complete, the development and commercialization of such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may not realize the anticipated benefits of our organizational streamlining and workforce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gene editing field and RNA editing in particular is relatively new and is evolving rapidly. We are very early in our research and development efforts and may not be successful in identifying and developing development candidates. It will be many years before we or our collaborators commercialize a development candidate or generate any revenues, if ever. Additionally, other gene editing technologies may be discovered that provide significant advantages over RNA editing,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RNA editing is a novel technology with limited clinical validation for human therapeutic use. The approaches we take to discover and develop novel therapeutics are unproven and may never lead to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are very early in our development efforts, and our preclinical studies and clinical trials may not be successful. We have yet to successfully complete clinical development of any development candidate, and any favorable results we have may not be predictive of results that may be observed in later preclinical studies or clinical trials, such as our experience in the Phase 1/2a REWRITE clinical trial of KRRO-110 for AATD. If we are unable to commercialize our development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Any development candidates we develop may fail in preclinical or clinical development or be delayed to a point where they do not become commercially viable.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Because we are developing oligonucleotides, which are considered a relatively new class of drugs, there is increased risk that the outcome of our clinical trials will not be sufficient to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If we are not able to obtain or protect intellectual property rights related to any of our lead candidates or development candidates, development and commercialization of our oliognucleotide leads or development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We may not be successful in finding strategic collaborators for continuing development of certain of our development candidates or successfully commercializing or competing in the market for certain indications; and we may not see any benefit from our collaboration agreement with Novo Nordisk, which, as of November 2025, is paused for 12 months.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price of our common stock is volatile and fluctuates substantially, which could result in substantial losses for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Our certificate of incorporation and bylaws and provisions under Delaware law could make an acquisition of us more difficult and may prevent attempts by our stockholders to replace or remove our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Our executive officers, directors and principal stockholders have the ability to control or significantly influence all matters submitted to our stockholders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Unfavorable global economic conditions could adversely affect our business, financial condition, results of operations or cash flow.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Our business may be impacted by macroeconomic conditions, including inflation, rising interest rates and volatile market conditions, and other uncertainties beyond our control, including geopolitical events, such as recent U.S. and Israeli military action in Iran, and effects thereof.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item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with a mission to discover, develop and commercialize a new class of genetic medicines based on editing RNA, enabling the treatment of both rare and highly prevalent diseases. We are generating a portfolio of differentiated programs that are designed to harness the body’s natural RNA editing process to effect a precise yet transient change to a single nucleoside (adenosine to an inosine edit). By editing RNA instead of DNA, we are expanding the reach of genetic medicines by delivering additional precision and tunability, which has the potential for increased specificity and improved long-term tolerability. We use an oligonucleotide-based approach and expect to bring our medicines to patients by leveraging our proprietary platform with precedented delivery modalities, including N-acetylgalactosamine, or GalNAc, -conjugated delivery for subcutaneous administration, manufacturing know-how, and established regulatory pathways of approved oligonucleotide medicines. However, the scientific evidence to support the feasibility of developing lead candidates using our RNA editing technology is both preliminary and limited. Moreover, regulators have not yet established any definitive guidelines related to overall development considerations for RNA editing therapies and limited clinical data has been generated to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versatility of RNA editing combined with our OPERA platform broadens the therapeutic target space significantly. The advent of large-scale genome sequencing has progressively revealed causal genetic variation underlying several human diseases, both rare and highly prevalent. Genetic mutations, including single nucleotide variants, or SNVs, implicated in disease have been found to be diverse in nature and can affect the function of genes and their associated downstream biochemical pathways. Data correlating DNA to RNA to disease phenotype have demonstrated that SNVs lead to a loss-of-function or a gain-of-function of the gene. In addition, the majority of SNVs implicated in complex diseases are due to modulation of gene function. By editing RNA to mimic a SNV, we believe we will be able to address unmet patient need by transiently modifying gene expression and the resultant protein function.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our understanding of genetic drivers of disease has increased, significant advances have been made in technologies designed to introduce specific yet permanent changes at the DNA level to treat diseases. While these DNA editing approaches offer great promise for the treatment of certain rare diseases, they present significant risks from potential permanent adverse “off-target” edits. Additionally, the complex nature of DNA editing drug products presents multiple challenges including lack of efficient delivery to target cells and scalable manufacturing, impeding their application to treat complex highly prevalent diseases of larger patient populations. These potential limitations have spurred exploration of alternative approaches to genetic medicine development, such as RNA editing.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Mammals and other lower species like cephalopods have an endogenous process of modifying single nucleosides on RNA, referred to as RNA editing. RNA editing is a natural physiological process, similar to RNA interference, or RNAi, that occurs in cells, including a mechanism mediated by an enzyme called Adenosine Deaminase Acting on RNA, or ADAR. Our RNA editing approach involves co-opting this endogenous editing system via proprietary engineered oligonucleotides to introduce precise edits to RNA. We iteratively optimize the editing efficiency of our oligonucleotides using a combination of ADAR biology, chemistry and machine learning expertise. Using this approach, we can edit the transcriptome with high efficiency and specificity. The application of such an approach can provide the ability to alter a nucleoside and affect biology in meaningful ways.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opposed to gene silencing with small interfering RNA, or siRNA, or antisense oligonucleotide, or ASO, gapmers, where oligonucleotides are used to silence and knock-down genes and proteins, we intend to either repair or activate biological pathways by editing RNA. Our pipeline has multiple programs, all of which are focused on modifying proteins to provide clinical benefit. These modification approaches can unlock validated target classes that have historically been difficult to drug, enabling us to pursue a broad range of diseases with potentially large addressable patient populations traditionally out-of-scope for other genetic medicine approaches and current traditional drug modalities. Each of our programs demonstrates the versatility of the oligonucleotide-based RNA editing approach to bring additional precision and tunability to address a broad range of rare and highly prevalent diseases.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 xml:space="preserve">Enabling synthetic rescue through engineering </w:t>
      </w:r>
      <w:r>
        <w:rPr>
          <w:rFonts w:ascii="Times New Roman" w:hAnsi="Times New Roman"/>
          <w:i/>
          <w:color w:val="000000"/>
          <w:sz w:val="20"/>
          <w:u w:val="single"/>
        </w:rPr>
        <w:t>de novo</w:t>
      </w:r>
      <w:r>
        <w:rPr>
          <w:color w:val="000000"/>
          <w:u w:val="single"/>
        </w:rPr>
        <w:t xml:space="preserve"> </w:t>
      </w:r>
      <w:r>
        <w:rPr>
          <w:rFonts w:ascii="Times New Roman" w:hAnsi="Times New Roman"/>
          <w:color w:val="000000"/>
          <w:sz w:val="20"/>
          <w:u w:val="single"/>
        </w:rPr>
        <w:t>versions of existing proteins</w:t>
      </w:r>
      <w:r>
        <w:rPr>
          <w:rFonts w:ascii="Times New Roman" w:hAnsi="Times New Roman"/>
          <w:color w:val="000000"/>
          <w:sz w:val="20"/>
        </w:rPr>
        <w:t xml:space="preserve">: A SNV observed in human genetic association studies has the potential to inform how to transiently modify a small amount of native protein. We can generate this </w:t>
      </w:r>
      <w:r>
        <w:rPr>
          <w:rFonts w:ascii="Times New Roman" w:hAnsi="Times New Roman"/>
          <w:i/>
          <w:color w:val="000000"/>
          <w:sz w:val="20"/>
        </w:rPr>
        <w:t>de novo</w:t>
      </w:r>
      <w:r>
        <w:rPr>
          <w:color w:val="000000"/>
        </w:rPr>
        <w:t xml:space="preserve"> </w:t>
      </w:r>
      <w:r>
        <w:rPr>
          <w:rFonts w:ascii="Times New Roman" w:hAnsi="Times New Roman"/>
          <w:color w:val="000000"/>
          <w:sz w:val="20"/>
        </w:rPr>
        <w:t xml:space="preserve">protein with preferred properties using our RNA editing oligonucleotides. In most cases, 10 – 50% of modified version of the native protein is sufficient to provide significant benefit, rather than needing 100% modification. This synthetic rescue approach is designed to restore cellular function without repairing the primary disease-causing genetic mutation. Our lead program, KRRO-121, exemplifies this approach by engineering a </w:t>
      </w:r>
      <w:r>
        <w:rPr>
          <w:rFonts w:ascii="Times New Roman" w:hAnsi="Times New Roman"/>
          <w:i/>
          <w:color w:val="000000"/>
          <w:sz w:val="20"/>
        </w:rPr>
        <w:t>de novo</w:t>
      </w:r>
      <w:r>
        <w:rPr>
          <w:color w:val="000000"/>
        </w:rPr>
        <w:t xml:space="preserve"> </w:t>
      </w:r>
      <w:r>
        <w:rPr>
          <w:rFonts w:ascii="Times New Roman" w:hAnsi="Times New Roman"/>
          <w:color w:val="000000"/>
          <w:sz w:val="20"/>
        </w:rPr>
        <w:t>version of glutamine synthetase, or GS, that is designed to stabilize the protein and enhance ammonia clearance, overcoming the challenges with a dysfunctional urea cycle.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Repairing pathogenic variants</w:t>
      </w:r>
      <w:r>
        <w:rPr>
          <w:rFonts w:ascii="Times New Roman" w:hAnsi="Times New Roman"/>
          <w:color w:val="000000"/>
          <w:sz w:val="20"/>
        </w:rPr>
        <w:t>: A SNV that is a pathogenic G-to-A mutation, leading to an aberrant amino acid on a protein, can be repaired using our RNA editing approach. Such an approach is relevant when the patient population has a heterogenous spectrum of disease manifestations from mild-to-severe, and the willingness and utility of a transient repair of the protein is preferable to a DNA modification. Our next-generation GalNAc conjugated lead candidate targeting patients with AATD exemplifies this approach.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Activating protein pathways:</w:t>
      </w:r>
      <w:r>
        <w:rPr>
          <w:color w:val="000000"/>
        </w:rPr>
        <w:t xml:space="preserve"> </w:t>
      </w:r>
      <w:r>
        <w:rPr>
          <w:rFonts w:ascii="Times New Roman" w:hAnsi="Times New Roman"/>
          <w:color w:val="000000"/>
          <w:sz w:val="20"/>
        </w:rPr>
        <w:t xml:space="preserve">A single SNV observed in human genetic association studies has the potential to inform how to transiently activate a protein pathway. We can generate this protein transiently using our RNA editing approach with an oligonucleotide, thereby engineering a </w:t>
      </w:r>
      <w:r>
        <w:rPr>
          <w:rFonts w:ascii="Times New Roman" w:hAnsi="Times New Roman"/>
          <w:i/>
          <w:color w:val="000000"/>
          <w:sz w:val="20"/>
        </w:rPr>
        <w:t>de novo</w:t>
      </w:r>
      <w:r>
        <w:rPr>
          <w:color w:val="000000"/>
        </w:rPr>
        <w:t xml:space="preserve"> </w:t>
      </w:r>
      <w:r>
        <w:rPr>
          <w:rFonts w:ascii="Times New Roman" w:hAnsi="Times New Roman"/>
          <w:color w:val="000000"/>
          <w:sz w:val="20"/>
        </w:rPr>
        <w:t>protein with preferred properties. Our longevity and liver health program targeting AMP-activated protein kinase gamma 1 protein, or AMPKγ1, exemplifies this approach.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Other target classes:</w:t>
      </w:r>
      <w:r>
        <w:rPr>
          <w:color w:val="000000"/>
        </w:rPr>
        <w:t xml:space="preserve"> </w:t>
      </w:r>
      <w:r>
        <w:rPr>
          <w:rFonts w:ascii="Times New Roman" w:hAnsi="Times New Roman"/>
          <w:color w:val="000000"/>
          <w:sz w:val="20"/>
        </w:rPr>
        <w:t xml:space="preserve">There are multiple other target classes that can be addressed such as preventing protein aggregation, selectively modulating ion channels and activating kinases that have been traditionally hard to leverage for developing medicines. </w:t>
      </w:r>
    </w:p>
    <w:p>
      <w:pPr>
        <w:pStyle w:val="TextBody"/>
        <w:bidi w:val="0"/>
        <w:jc w:val="left"/>
        <w:rPr/>
      </w:pPr>
      <w:r>
        <w:rPr/>
        <w:t> </w:t>
      </w:r>
    </w:p>
    <w:p>
      <w:pPr>
        <w:pStyle w:val="TextBody"/>
        <w:bidi w:val="0"/>
        <w:jc w:val="center"/>
        <w:rPr/>
      </w:pPr>
      <w:r>
        <w:rPr/>
        <w:drawing>
          <wp:inline distT="0" distB="0" distL="0" distR="0">
            <wp:extent cx="5162550" cy="2686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62550" cy="2686050"/>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1: RNA editing, just a single A-to-I nucleoside change, can have profound impact on biological pathways. The applications span a multitude of avenues to impact biology. We are focused on activating and repairing pathways rather than competing with RNA interference technologies.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pipeline chart below demonstrates the breadth of indications, with an initial focus on four wholly-owned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KRRO-121, our hyperammonemia program, targeting the increased clearance of ammonia in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AATD (GalNAc-conjugated delivery) program targeting the repair of the alpha-1 antitrypsin, or AAT, protein;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longevity and liver health program targeting the activation of AMPKγ1 pathway (GalNAc-conjugated delivery);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ALS program targeting the creation of a </w:t>
      </w:r>
      <w:r>
        <w:rPr>
          <w:rFonts w:ascii="Times New Roman" w:hAnsi="Times New Roman"/>
          <w:i/>
          <w:color w:val="000000"/>
          <w:sz w:val="20"/>
        </w:rPr>
        <w:t>de novo</w:t>
      </w:r>
      <w:r>
        <w:rPr>
          <w:color w:val="000000"/>
        </w:rPr>
        <w:t xml:space="preserve"> </w:t>
      </w:r>
      <w:r>
        <w:rPr>
          <w:rFonts w:ascii="Times New Roman" w:hAnsi="Times New Roman"/>
          <w:color w:val="000000"/>
          <w:sz w:val="20"/>
        </w:rPr>
        <w:t xml:space="preserve">variant of TDP-43 (with intrathecal delivery).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also have up to two programs partnered with Novo Nordisk, which entered a 12-month pause in November 2025. All of our programs are still in the research or preclinical stage of development and the risk of failure of all of our programs is high.</w:t>
      </w:r>
    </w:p>
    <w:p>
      <w:pPr>
        <w:pStyle w:val="TextBody"/>
        <w:bidi w:val="0"/>
        <w:jc w:val="center"/>
        <w:rPr/>
      </w:pPr>
      <w:r>
        <w:rPr/>
        <w:drawing>
          <wp:inline distT="0" distB="0" distL="0" distR="0">
            <wp:extent cx="6619875" cy="2247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19875" cy="2247900"/>
                    </a:xfrm>
                    <a:prstGeom prst="rect">
                      <a:avLst/>
                    </a:prstGeom>
                  </pic:spPr>
                </pic:pic>
              </a:graphicData>
            </a:graphic>
          </wp:inline>
        </w:drawing>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1"/>
        </w:rPr>
        <w:t>1</w:t>
      </w:r>
      <w:r>
        <w:rPr>
          <w:rFonts w:ascii="Times New Roman" w:hAnsi="Times New Roman"/>
          <w:i/>
          <w:color w:val="000000"/>
          <w:sz w:val="16"/>
        </w:rPr>
        <w:t>De novo</w:t>
      </w:r>
      <w:r>
        <w:rPr>
          <w:rFonts w:ascii="Times New Roman" w:hAnsi="Times New Roman"/>
          <w:color w:val="000000"/>
          <w:sz w:val="20"/>
        </w:rPr>
        <w:t xml:space="preserve"> </w:t>
      </w:r>
      <w:r>
        <w:rPr>
          <w:rFonts w:ascii="Times New Roman" w:hAnsi="Times New Roman"/>
          <w:color w:val="000000"/>
          <w:sz w:val="16"/>
        </w:rPr>
        <w:t>protein variant to prevent toxic gain-of-function, or GoF, with TDP43 aggregation, and continue downstream signaling by overcoming toxic loss-of-function, or LOF.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KRRO-121 – Hyperammonemia Program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continue to make meaningful advancements across our programs, including KRRO-121 as a potential first-in-class treatment for hyperammonemia that has the potential to address substantial unmet need in patients with poor ammonia control, including those with urea cycle disorders, or UCD, and hepatic encephalopathy, or HE. KRRO-121 is an RNA-editing oligonucleotide conjugated with GalNAc in preclinical development for the potential treatment of UCDs of any mutational background in adults and adolescents. Utilizing our proprietary platform, we designed KRRO-121 to edit the GS mRNA to generate a stabilized, </w:t>
      </w:r>
      <w:r>
        <w:rPr>
          <w:rFonts w:ascii="Times New Roman" w:hAnsi="Times New Roman"/>
          <w:i/>
          <w:color w:val="000000"/>
          <w:sz w:val="20"/>
        </w:rPr>
        <w:t>de novo</w:t>
      </w:r>
      <w:r>
        <w:rPr>
          <w:rFonts w:ascii="Times New Roman" w:hAnsi="Times New Roman"/>
          <w:color w:val="000000"/>
          <w:sz w:val="20"/>
        </w:rPr>
        <w:t xml:space="preserve"> variant of GS with enhanced ammonia clearance capacity. This synthetic rescue approach creates a compensating protein rather than repairing the underlying urea cycle defect. By editing GS mRNA to create a </w:t>
      </w:r>
      <w:r>
        <w:rPr>
          <w:rFonts w:ascii="Times New Roman" w:hAnsi="Times New Roman"/>
          <w:i/>
          <w:color w:val="000000"/>
          <w:sz w:val="20"/>
        </w:rPr>
        <w:t>de novo</w:t>
      </w:r>
      <w:r>
        <w:rPr>
          <w:rFonts w:ascii="Times New Roman" w:hAnsi="Times New Roman"/>
          <w:color w:val="000000"/>
          <w:sz w:val="20"/>
        </w:rPr>
        <w:t xml:space="preserve"> protein with a single amino acid change that prevents glutamine-induced proteasomal degradation of GS, we aim to maintain consistent ammonia clearance capacity irrespective of the specific enzyme deficiency in patients with UCD and to reduce ammonia levels in patients with HE.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Hyperammonemia, or elevated ammonia in the blood, can lead to neurological impairment that can be potentially permanent, frequent hospitalization, highly restricted diet, elevated infection risk, and additional non-neurological complications. Hyperammonemia can be caused by cirrhosis or urea cycle dysfunction, and clinical studies have shown benefit of lowering ammonia in multiple indications. We believe our approach for treating hyperammonemia has multiple potential advantages: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Provides a pan-UCD approach addressing multiple UCD subtypes irrespective of their enzyme deficiencies in the urea cycle.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ammonia control through stabilization of GS protein in the liver.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Convenient subcutaneous delivery using precedented GalNAc-conjugated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for reduction in hyperammonemic crises for UCD patients and reduction in HE events for HE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compelling preclinical data demonstrating proof of concept across multiple RNA editing oligonucleotides targeting GS, including KRRO-121.</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KRRO-121 stabilized GS </w:t>
      </w:r>
      <w:r>
        <w:rPr>
          <w:rFonts w:ascii="Times New Roman" w:hAnsi="Times New Roman"/>
          <w:i/>
          <w:color w:val="000000"/>
          <w:sz w:val="20"/>
        </w:rPr>
        <w:t>in</w:t>
      </w:r>
      <w:r>
        <w:rPr>
          <w:color w:val="000000"/>
        </w:rPr>
        <w:t xml:space="preserve"> </w:t>
      </w:r>
      <w:r>
        <w:rPr>
          <w:rFonts w:ascii="Times New Roman" w:hAnsi="Times New Roman"/>
          <w:color w:val="000000"/>
          <w:sz w:val="20"/>
        </w:rPr>
        <w:t>ornithine transcarbamylase, or OTC, -deficient and argininosuccinate synthase 1, or ASS1, -deficient iPSC-derived hepatocytes, maintaining GS protein levels during ammonia challenge</w:t>
      </w:r>
      <w:r>
        <w:rPr>
          <w:rFonts w:ascii="Times New Roman" w:hAnsi="Times New Roman"/>
          <w:i/>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both OTC-deficient and CPS-1-deficient mice challenged with ammonia, treatment with a mouse-optimized oligonucleotide reduced ammonia, supporting potential to increase protein intake and dietary liberalization.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 a humanized liver mouse model (PXB), KRRO-121 reduced basal ammonia levels and enhanced ammonia clearance following challenge, with production of stabilized </w:t>
      </w:r>
      <w:r>
        <w:rPr>
          <w:rFonts w:ascii="Times New Roman" w:hAnsi="Times New Roman"/>
          <w:i/>
          <w:color w:val="000000"/>
          <w:sz w:val="20"/>
        </w:rPr>
        <w:t>de novo</w:t>
      </w:r>
      <w:r>
        <w:rPr>
          <w:color w:val="000000"/>
        </w:rPr>
        <w:t xml:space="preserve"> </w:t>
      </w:r>
      <w:r>
        <w:rPr>
          <w:rFonts w:ascii="Times New Roman" w:hAnsi="Times New Roman"/>
          <w:color w:val="000000"/>
          <w:sz w:val="20"/>
        </w:rPr>
        <w:t xml:space="preserve">GS variant.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non-human primates, or NHPs, KRRO-121 displayed &gt;90% delivery to liver, confirmed liver localization with pericentral GS, and no observed changes in liver or kidney function, coagulation, complement, platelets, or cytokines.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KRRO-121 represents a significant market opportunity in UCD and HE. There are an estimated 4,200 severe late-onset UCD patients in the United States, or U.S., and 5,100 in the European Union, or EU, and United Kingdom, or UK. UCD patients frequently have ammonia levels greater than 1.5 times the upper limit of normal, leading to increased hyperammonemia risk. Ammonia control is highly challenging in UCD patients today, often requiring nitrogen scavengers plus a strict diet that can lead to malnutrition. In addition to UCD, KRRO-121 has an opportunity to potentially address significant unmet need in HE. There are approximately 2.2 million patients with cirrhosis in the United States, of which approximately 140,000 have severe or recurring HE. Up to 80,000 addressable patients in the United States with severe or recurring HE, high ammonia levels (≥1.5x upper limit of normal), and sufficient liver function may benefit from ammonia-lowering treatment, with an additional 150,000 patients in the European Union and United Kingdom. High ammonia significantly increases hospitalization risk, with greater than 2-fold increase in HE-related hospitalization for addressable HE patients versus all severe or recurring HE patients, and over $10 billion in inpatient charges for HE in the United States each year.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Based on the preclinical data, we believe KRRO-121 has potential to be a best-in-class treatment for ammonia control. We anticipate a regulatory filing to enable commencement of a first-in-human trial in the second half of 2026. The compelling product profile for controlling ammonia is expected to drive strong patient engagement and recruitment. While we believe we can demonstrate many of the key advantages of our development candidate KRRO-121, we are early in our development efforts and not yet certain of the results we may achieve in humans. Such uncertainties include, but are not limited to, the level of ammonia control needed in a target tissue type to achieve a clinical benefit, and associated safety of the </w:t>
      </w:r>
      <w:r>
        <w:rPr>
          <w:rFonts w:ascii="Times New Roman" w:hAnsi="Times New Roman"/>
          <w:i/>
          <w:color w:val="000000"/>
          <w:sz w:val="20"/>
        </w:rPr>
        <w:t>de novo</w:t>
      </w:r>
      <w:r>
        <w:rPr>
          <w:rFonts w:ascii="Times New Roman" w:hAnsi="Times New Roman"/>
          <w:color w:val="000000"/>
          <w:sz w:val="20"/>
        </w:rPr>
        <w:t xml:space="preserve"> protein variants we create in humans.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AATD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developing a next-generation GalNAc-conjugated RNA editing oligonucleotide for the treatment of AATD that has the potential to be disease-modifying and provide a differentiated therapeutic option. Following extensive evaluation of our initial AATD program, KRRO-110, we have strategically pivoted from a lipid nanoparticle, or LNP, based delivery approach to GalNAc-conjugated delivery and made significant improvements on the potency of the next-generation oligonucleotide, to advance a potential best-in-class therapy for AATD patients. We anticipate nominating a development candidate for this program in the second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AATD is an inherited genetic disorder that can cause severe progressive lung and liver disease due to a lack of normal AAT protein, with varying intensity based on patient genotype and environmental factors. Patients often develop chronic obstructive pulmonary disorder, or COPD, in the lungs and cirrhosis of the liver, which can result in liver failure or death. There are an estimated 5.5 million individuals with deficiency allele combinations worldwide. The only U.S. Food and Drug Administration, or FDA, -approved treatment for patients with lung manifestations of AATD is augmentation therapy, which utilizes AAT protein purified from pooled human plasma administered weekly by intravenous infusion. Despite being minimally effective and not fully addressing the needs of many AATD patients, augmentation therapy currently represents approximately $1.4 billion in annual sales worldwide, highlighting the significant unmet medical need and commercial opportunity for a superior therapeutic approach.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next-generation GalNAc-conjugated AATD program utilizes a proprietary RNA editing oligonucleotide specifically designed to leverage endogenous ADAR to make a single base edit in SERPINA1 RNA, correcting the pathogenic G to A SNV that results in the E342K amino acid substitution. This approach is designed to restore the production of normal AAT protein in liver hepatocytes through convenient subcutaneous administration. Our goal is to bring individuals with the Z allele to a phenotype where over 90% of RNA has been modified to produce normal AAT protein, resulting in levels of AAT consistent with individuals in the upper half of the PiMZ genotype and the fully healthy PiMM genotype. We believe the GalNAc-conjugated delivery approach has the potential to offer multiple advantages over our previous LNP-based intravenous approach, including improved potency of the next-generation construct, improved delivery to liver cells using GalNAc conjugation, convenient subcutaneous administration that significantly improves patient experience, and potentially enhanced durability of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preclinical studies have demonstrated compelling proof of concept for the GalNAc-conjugated approach to AATD treatment. A GalNAc-conjugated RNA editing lead candidate achieved greater than 90% editing of the SERPINA1 transcript in vivo in a human transgenic mouse model that expresses the human SERPINA1 gene with the Z-mutation. These results demonstrate both the high efficiency and consistency of our next-generation RNA editing oligonucleotide with the GalNAc-conjugated approach in a well-characterized AATD mouse model. Our potential development candidates have also demonstrated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specificity with minimal off-target effects, supporting the potential for a favorable safety profile in clinical development. The editing efficiency achieved with our GalNAc-conjugated approach represents a significant advancement over our earlier studies and positions our program to potentially deliver transformative outcomes for AATD patients. We anticipate nominating a development candidate among our lead candidates for this program in the second quarter of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assembled a suite of technologies and capabilities to build our RNA editing platform, Oligonucleotide Promoted Editing of RNA, or OPERA. </w:t>
      </w:r>
    </w:p>
    <w:p>
      <w:pPr>
        <w:pStyle w:val="TextBody"/>
        <w:bidi w:val="0"/>
        <w:jc w:val="left"/>
        <w:rPr/>
      </w:pPr>
      <w:r>
        <w:rPr/>
        <w:t> </w:t>
      </w:r>
    </w:p>
    <w:p>
      <w:pPr>
        <w:pStyle w:val="TextBody"/>
        <w:bidi w:val="0"/>
        <w:jc w:val="center"/>
        <w:rPr/>
      </w:pPr>
      <w:r>
        <w:rPr/>
        <w:drawing>
          <wp:inline distT="0" distB="0" distL="0" distR="0">
            <wp:extent cx="6619875" cy="3314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19875" cy="3314700"/>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 integrates a deep understanding of ADAR biology with expertise in oligonucleotide chemistry, machine learning optimization of oligonucleotides and fit-for-purpose, derisked delivery, all of which are expected to enable rapid iteration of our development candidates across therapeutic targets. OPERA relies on the following key components that enable us to generate the proprietary RNA editing oligonucleotides that form the basis of our differentiated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Expertise in ADAR biology</w:t>
      </w:r>
      <w:r>
        <w:rPr>
          <w:rFonts w:ascii="Times New Roman" w:hAnsi="Times New Roman"/>
          <w:color w:val="000000"/>
          <w:sz w:val="20"/>
        </w:rPr>
        <w:t xml:space="preserve">, supported by extensive preclinical research using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assays and proprietary mouse models as well as the fundamental work of our scientific advisors and founders to elucidate key insights and know-how of ADAR biology. This enables an understanding of ADAR activity translation among different species and disease states, allowing us to develop novel lead candidates.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Expertise in oligonucleotide chemistry</w:t>
      </w:r>
      <w:r>
        <w:rPr>
          <w:rFonts w:ascii="Times New Roman" w:hAnsi="Times New Roman"/>
          <w:color w:val="000000"/>
          <w:sz w:val="20"/>
        </w:rPr>
        <w:t xml:space="preserve">, enabled by the ability to identify and incorporate chemical modifications to generate a fully modified synthetic oligonucleotide. This increases our ability to generate potent oligonucleotides with drug-like properties, thereby increasing the editing and translational efficiency of our lead candidates.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Machine learning optimization of oligonucleotides and target identification</w:t>
      </w:r>
      <w:r>
        <w:rPr>
          <w:rFonts w:ascii="Times New Roman" w:hAnsi="Times New Roman"/>
          <w:color w:val="000000"/>
          <w:sz w:val="20"/>
        </w:rPr>
        <w:t xml:space="preserve">, driven by data science and computational capabilities for rapid and efficient design and iteration resulting in optimal lead candidates for each disease or disease target being pursued.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Leveraging known and derisked delivery modalities</w:t>
      </w:r>
      <w:r>
        <w:rPr>
          <w:rFonts w:ascii="Times New Roman" w:hAnsi="Times New Roman"/>
          <w:color w:val="000000"/>
          <w:sz w:val="20"/>
        </w:rPr>
        <w:t xml:space="preserve">, made possible by tissue-specific and validated delivery technologies that may potentially derisk our lead candidates and enhance biodistribution, specificity, durability and editing efficiency of lead candidates.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lead candidates are single stranded oligonucleotides designed to have high target efficiency and specificity by leveraging the pillars of OPERA. The versatility of RNA editing combined with our OPERA platform broadens the therapeutic target space significantly.</w:t>
      </w:r>
    </w:p>
    <w:p>
      <w:pPr>
        <w:pStyle w:val="TextBody"/>
        <w:bidi w:val="0"/>
        <w:spacing w:before="36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mission is to discover, develop and commercialize a new class of RNA editing therapies capable of improving the lives of patients with rare and highly prevalent diseases. We do this by applying our proprietary RNA editing platform, OPERA, which combines our unique expertise in ADAR biology and oligonucleotide chemistry with machine learning-driven optimization and leveraging existing delivery. Our RNA editing oligonucleotides are designed to harness the body’s natural RNA editing processes to make a precise single A-to-I edit on RNA. However, this has primarily been observed in preclinical studies and in a limited number of human subjects in our now terminated REWRITE clinical program investigating KRRO-110, an LNP-encapsulated oligonucleotide as a treatment for AATD.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program, KRRO-121 for hyperammonemia, utilizes GalNAc-conjugated delivery with a regulatory filing anticipated in the second half of 2026. Our goal is to develop a portfolio of RNA editing oligonucleotides, to help alleviate major unmet medical needs, with best-in-class properties by executing on the following key pillars of our strategy: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Develop a pipeline of programs focused on modifying proteins to activate biological pathways using RNA editing.</w:t>
      </w:r>
      <w:r>
        <w:rPr>
          <w:color w:val="000000"/>
        </w:rPr>
        <w:t xml:space="preserve"> </w:t>
      </w:r>
      <w:r>
        <w:rPr>
          <w:rFonts w:ascii="Times New Roman" w:hAnsi="Times New Roman"/>
          <w:color w:val="000000"/>
          <w:sz w:val="20"/>
        </w:rPr>
        <w:t xml:space="preserve">We are leveraging significant advances in the understanding of the relationship between DNA, RNA and disease phenotypes to develop novel therapeutic approaches across a range of validated biological targets. Our novel class of RNA editing therapeutics combines the precision of genomic therapies with the properties associated with traditional approved drugs, such as titratability and ability to re-dose. Using our approach, in preclinical studies, we have demonstrated the ability to modify protein function or engineer proteins to potentially endow them with desirable properties to treat disease. </w:t>
      </w:r>
      <w:r>
        <w:rPr>
          <w:rFonts w:ascii="Times New Roman" w:hAnsi="Times New Roman"/>
          <w:color w:val="000000"/>
          <w:sz w:val="19"/>
        </w:rPr>
        <w:t>This approach can unlock validated target classes that have historically been deemed undruggable, enabling us to pursue a broad range of diseases, including those with high prevalence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Advance KRRO-121 as a potentially first-in-class treatment for hyperammonemia, our first example of synthetic rescue.</w:t>
      </w:r>
      <w:r>
        <w:rPr>
          <w:color w:val="000000"/>
        </w:rPr>
        <w:t xml:space="preserve"> </w:t>
      </w:r>
      <w:r>
        <w:rPr>
          <w:rFonts w:ascii="Times New Roman" w:hAnsi="Times New Roman"/>
          <w:color w:val="000000"/>
          <w:sz w:val="20"/>
        </w:rPr>
        <w:t xml:space="preserve">Our lead program, KRRO-121, has the potential to provide a differentiated therapeutic option for patients with UCD and HE by enhancing ammonia clearance. KRRO-121 can potentially achieve this through the stabilization of GS, specifically in the liver. Our preclinical data has demonstrated proof of concept across multiple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models, including a humanized liver mouse model. KRRO-121 utilizes GalNAc-conjugated delivery for convenient subcutaneous administration. We anticipate a regulatory filing to enable commencement of a first-in-human trial in the second half of 2026. However, regulators have not yet established any definitive guidelines related to overall development considerations for RNA editing therapies.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Develop a best-in-class GalNAc-conjugated therapy for patients with AATD. </w:t>
      </w:r>
      <w:r>
        <w:rPr>
          <w:rFonts w:ascii="Times New Roman" w:hAnsi="Times New Roman"/>
          <w:color w:val="000000"/>
          <w:sz w:val="20"/>
        </w:rPr>
        <w:t xml:space="preserve">We are advancing a GalNAc-conjugated RNA editing oligonucleotide for AATD that utilizes subcutaneous delivery to repair the protein malfunction caused in the AATD patients, by editing the SERPINA1 RNA in the liver. Our RNA editing lead candidates for AATD have generated compelling preclinical data demonstrating greater than 90% editing of the SERPINA1 transcript achieved using GalNAc delivery </w:t>
      </w:r>
      <w:r>
        <w:rPr>
          <w:rFonts w:ascii="Times New Roman" w:hAnsi="Times New Roman"/>
          <w:i/>
          <w:color w:val="000000"/>
          <w:sz w:val="20"/>
        </w:rPr>
        <w:t xml:space="preserve">in vivo, </w:t>
      </w:r>
      <w:r>
        <w:rPr>
          <w:rFonts w:ascii="Times New Roman" w:hAnsi="Times New Roman"/>
          <w:color w:val="000000"/>
          <w:sz w:val="20"/>
        </w:rPr>
        <w:t xml:space="preserve">thus restoring the production of normal AAT protein. We expect to nominate a development candidate for our AATD program in the second quarter of 2026. Depending on the evidence of efficacy and tolerability, we intend to pursue expedited regulatory pathways globally.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Continue to optimize and enhance our OPERA platform.</w:t>
      </w:r>
      <w:r>
        <w:rPr>
          <w:color w:val="000000"/>
        </w:rPr>
        <w:t xml:space="preserve"> </w:t>
      </w:r>
      <w:r>
        <w:rPr>
          <w:rFonts w:ascii="Times New Roman" w:hAnsi="Times New Roman"/>
          <w:color w:val="000000"/>
          <w:sz w:val="20"/>
        </w:rPr>
        <w:t xml:space="preserve">We believe we have built a leading RNA editing company through a combination of our OPERA platform, intellectual property strategy and human capital. Our computationally driven approach enables rapid design and optimization of potential lead candidates. We intend to continue to incorporate new data into these machine learning models to improve their ability to predict editing efficiency and to more expeditiously optimize and nominate new development candidates, although there is no guarantee that this will result in an accelerated development or approval timeline, if at all.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Maximize the potential of our OPERA platform through collaborations and strategic partnerships. </w:t>
      </w:r>
      <w:r>
        <w:rPr>
          <w:rFonts w:ascii="Times New Roman" w:hAnsi="Times New Roman"/>
          <w:color w:val="000000"/>
          <w:sz w:val="20"/>
        </w:rPr>
        <w:t xml:space="preserve">We believe the versatility of our OPERA platform has the potential to create transformative genetic medicines for both rare and highly prevalent diseases. To fully realize this potential, we have established and plan to continue to actively seek out innovative collaborations, licenses, and strategic alliances with clinical leaders, academic medical centers of excellence, patient advocacy groups, and pioneering companies, including, for example, our collaboration with Novo Nordisk for up to two partnered programs for cardiometabolic diseases, which entered a 12-month pause in November 2025. Given the versatility and broad potential of our OPERA platform across therapeutic areas, especially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in diseases with high prevalence, we may enter into additional strategic partnerships with external parties that have complementary capabilities to broaden and accelerate access to our RNA editing therapies.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Invest in human capital and encourage innovation to maintain a leading position and advance the frontiers of genetic medicines. </w:t>
      </w:r>
      <w:r>
        <w:rPr>
          <w:rFonts w:ascii="Times New Roman" w:hAnsi="Times New Roman"/>
          <w:color w:val="000000"/>
          <w:sz w:val="20"/>
        </w:rPr>
        <w:t>We are a mission-driven organization, and we thrive through a strong culture that embodies our core values. We are actively working to rewrite the future of medicine and remain on the cutting edge of science and research by working better together and being dynamically different in employing a diverse team with varied expertise, enabled by kindness, integrity and respect. We have attracted a talented team of industry experts and experienced scientists as part of a high-performing and nimble organization. Our research and development organization is comprised of individuals with relevant expertise in drug development.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Positioned for Value Creation in 2026 and Beyond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well positioned to create significant value in 2026 and beyond with multiple anticipated milestones, with multiple anticipated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filing for KRRO-121 for hyperammonemia anticipated in the second half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candidate nomination for our next-generation GalNAc-conjugated AATD program expected in the second quarter of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advancement of our longevity and liver health and ALS programs, with cash runway into the second half of 2028 supporting achievement of these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RNA editing has potential beyond the treatment of rare genetic diseases, and our goal is to apply our OPERA platform to help patients with highly prevalent diseases, including HE.</w:t>
      </w:r>
    </w:p>
    <w:p>
      <w:pPr>
        <w:pStyle w:val="TextBody"/>
        <w:bidi w:val="0"/>
        <w:spacing w:before="360" w:after="283"/>
        <w:jc w:val="left"/>
        <w:rPr>
          <w:rFonts w:ascii="Times New Roman" w:hAnsi="Times New Roman"/>
          <w:sz w:val="20"/>
        </w:rPr>
      </w:pPr>
      <w:r>
        <w:rPr>
          <w:rFonts w:ascii="Times New Roman" w:hAnsi="Times New Roman"/>
          <w:b/>
          <w:color w:val="000000"/>
          <w:sz w:val="20"/>
        </w:rPr>
        <w:t>Expanding the Frontiers of Genetic Medicines: RNA Editing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advent of large-scale genome sequencing has progressively revealed causal genetic variation underlying several human diseases, both rare and highly prevalent. Genetic mutations, including SNVs, implicated in disease have been found to be diverse in nature and can affect the function of genes and their associated downstream biochemical pathways. Natural genetic variations, revealed by population-level genomic studies, have also been shown to protect against or to increase the risk of disease. Beyond these developments, groundbreaking advances in gene therapy, cell therapy and RNA therapeutics have resulted in several approvals that have transformed the treatment of certain genetic diseases and cancers as well as the prevention of infectious diseases, such as COVID-19. In addition, various DNA editing approaches have been developed that introduce specific genetic changes to DNA to treat diseases. First generation CRISPR-Cas9 DNA editing has demonstrated the potential to knockout pathogenic mutations at the single gene level with several programs in clinical development and the first </w:t>
      </w:r>
      <w:r>
        <w:rPr>
          <w:rFonts w:ascii="Times New Roman" w:hAnsi="Times New Roman"/>
          <w:i/>
          <w:color w:val="000000"/>
          <w:sz w:val="20"/>
        </w:rPr>
        <w:t>ex vivo</w:t>
      </w:r>
      <w:r>
        <w:rPr>
          <w:rFonts w:ascii="Times New Roman" w:hAnsi="Times New Roman"/>
          <w:color w:val="000000"/>
          <w:sz w:val="20"/>
        </w:rPr>
        <w:t xml:space="preserve"> DNA editing therapeutic for a rare hematological condition on file at the FDA. Next generation DNA editing approaches have entered the clinic and hold the promise to edit DNA at the single nucleotide level.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these advances, significant risks exist with DNA editing approaches. A key concern is the introduction of unwanted DNA modifications (“off-target” edits), which could have permanent adverse effects such as chromosomal integration and non-specific insertions, deletions and substitutions. Additionally, due to the complexity of a multicomponent DNA editing product, delivery to target cells can be challenging and even more so if there is a need to edit multiple genetic loci. Furthermore, manufacturing is highly complex and expanding to commercial scale remains challenging, specifically for a highly prevalent indication. Given these challenges, DNA editing approaches will likely remain a focus for certain rare diseases, while its ability to treat diseases of high prevalence continues to be limited. </w:t>
      </w:r>
    </w:p>
    <w:p>
      <w:pPr>
        <w:pStyle w:val="TextBody"/>
        <w:bidi w:val="0"/>
        <w:spacing w:before="360" w:after="283"/>
        <w:jc w:val="left"/>
        <w:rPr>
          <w:rFonts w:ascii="Times New Roman" w:hAnsi="Times New Roman"/>
          <w:sz w:val="20"/>
        </w:rPr>
      </w:pPr>
      <w:r>
        <w:rPr>
          <w:rFonts w:ascii="Times New Roman" w:hAnsi="Times New Roman"/>
          <w:b/>
          <w:color w:val="000000"/>
          <w:sz w:val="20"/>
        </w:rPr>
        <w:t>ADAR-mediated RNA editing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RNA editing involves altering a sequence of RNA, which intrinsically has the potential to address some of the limitations of DNA editing. RNA editing mediated by adenosine deaminase acting on RNA, or “ADAR-mediated” RNA editing, has emerged as a differentiated approach that can generate oligonucleotide having features that combine the precision of genomic therapies with the properties commonly associated with current approved drugs such as titratability and ability to re-dose. Importantly, these drug-like characteristics enable ADAR-mediated RNA editing candidates to be potentially safer and target diseases with high prevalence that would be difficult for DNA editing approaches to address.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ADARs are a family of enzymes present inside a cell, that bind RNA. ADARs bind double-stranded RNA structures, and convert a single base of adenosine (A) on RNA, into an inosine (I) that is typically translated as a guanosine (G), using an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enzymatic process. ADAR mediated editing is found at high levels in cephalopods both on the coding and non-coding regions of the RNA. In humans, there are fewer recoding events, and most of the endogenous editing events occur in non-coding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Humans have two known active endogenous ADAR enzymes, ADAR1 and ADAR2. ADAR1 is constitutively expressed and is present in most tissues within the body, whereas ADAR2 is more highly expressed in tissues such as the brain. The ADARs are essential enzymes for normal physiologic function. ADAR-driven RNA editing has been found to be critical for the function of a number of proteins, such as the glutamate ionotropic receptor, which has been found to be almost always RNA-edited in humans. Given ADARs’ natural function to catalyze A-to-I edits, this endogenous editing system can be leveraged to make programmed edits to RNA. This ability to introduce programmed highly targeted edits into RNA has the potential to expand the reach of genetic medicines with an ability to modify proteins to achieve a desired function. </w:t>
      </w:r>
    </w:p>
    <w:p>
      <w:pPr>
        <w:pStyle w:val="TextBody"/>
        <w:bidi w:val="0"/>
        <w:spacing w:before="360" w:after="283"/>
        <w:jc w:val="left"/>
        <w:rPr>
          <w:rFonts w:ascii="Times New Roman" w:hAnsi="Times New Roman"/>
          <w:sz w:val="20"/>
        </w:rPr>
      </w:pPr>
      <w:r>
        <w:rPr>
          <w:rFonts w:ascii="Times New Roman" w:hAnsi="Times New Roman"/>
          <w:b/>
          <w:i/>
          <w:color w:val="000000"/>
          <w:sz w:val="20"/>
        </w:rPr>
        <w:t>Oligonucleotide-based ADAR-mediated RNA Editing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multiple therapeutic approaches to utilize ADAR-mediated RNA editing, including synthetic oligonucleotides, engineered ADARs, and Cas-based editing approaches. Our therapeutic approach delivers oligonucleotides to target tissues and cells to introduce precise edits to RNA through recruitment of endogenous ADAR.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Normally, ADARs are recruited to target RNA editing sites through recognition of specific double-stranded RNA structures such as naturally occurring hairpins or loops in endogenous transcripts. Importantly, one can mimic these double-stranded RNA structures by introducing complementary synthetic oligonucleotides into cells. An oligonucleotide can be engineered to mimic the double-stranded RNA structure such that endogenous ADAR is recruited. Using this targeted approach, a site directed specific A-to-I edit can be introduced. </w:t>
      </w:r>
    </w:p>
    <w:p>
      <w:pPr>
        <w:pStyle w:val="TextBody"/>
        <w:bidi w:val="0"/>
        <w:spacing w:before="120" w:after="283"/>
        <w:jc w:val="left"/>
        <w:rPr/>
      </w:pPr>
      <w:r>
        <w:rPr/>
        <w:t> </w:t>
      </w:r>
    </w:p>
    <w:p>
      <w:pPr>
        <w:pStyle w:val="TextBody"/>
        <w:bidi w:val="0"/>
        <w:spacing w:before="120" w:after="283"/>
        <w:jc w:val="center"/>
        <w:rPr/>
      </w:pPr>
      <w:r>
        <w:rPr/>
        <w:drawing>
          <wp:inline distT="0" distB="0" distL="0" distR="0">
            <wp:extent cx="4905375" cy="2000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905375" cy="2000250"/>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2: Mechanism of RNA editing using our proprietary platform</w:t>
      </w:r>
    </w:p>
    <w:p>
      <w:pPr>
        <w:pStyle w:val="TextBody"/>
        <w:bidi w:val="0"/>
        <w:spacing w:before="360" w:after="283"/>
        <w:jc w:val="left"/>
        <w:rPr>
          <w:rFonts w:ascii="Times New Roman" w:hAnsi="Times New Roman"/>
          <w:sz w:val="20"/>
        </w:rPr>
      </w:pPr>
      <w:r>
        <w:rPr>
          <w:rFonts w:ascii="Times New Roman" w:hAnsi="Times New Roman"/>
          <w:b/>
          <w:color w:val="000000"/>
          <w:sz w:val="20"/>
        </w:rPr>
        <w:t>Key Advantages of Oligonucleotide-Based ADAR-Mediated RNA Editing as a Therapeutic Modality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last two decades, there has been significant research around and development of oligonucleotide-based therapeutics, including modalities such as siRNA and ASOs, that has led to the approval of multiple drugs. Specifically, developments in oligonucleotide chemistry, delivery technologies, tolerability, and manufacturing, combined with better defined regulatory pathways, have led to the approval of oligonucleotide-based therapeutics specific for multiple different tissue types. We believe that oligonucleotide-based ADAR-mediated RNA editing is a groundbreaking technology that is ideally suited to expand the application of genetic medicines for indications that DNA editing is unable to address. We differentiate our approach from DNA-editing by leveraging the know-how from approved oligonucleotide therapies in development of our lead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we can demonstrate many of the key advantages of RNA editing, including specificity, delivery, tolerability, manufacturing, and regulatory, we are very early in our development efforts and not yet certain of the results we may achieve. Such uncertainties include but are not limited to the level of editing efficiency needed in a target tissue type to achieve a clinical benefit, and associated safety of our edits in humans.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Specificity</w:t>
      </w:r>
      <w:r>
        <w:rPr>
          <w:rFonts w:ascii="Times New Roman" w:hAnsi="Times New Roman"/>
          <w:color w:val="000000"/>
          <w:sz w:val="20"/>
        </w:rPr>
        <w:t xml:space="preserve">: Oligonucleotide-based ADAR-mediated RNA editing enables highly precise edits at the target single nucleotide level on the RNA with low risk of off-target or bystander edits, addressing a key safety concern associated with other DNA editing approaches that carry the risk of permanent insertions and deletions as well as chromosomal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 xml:space="preserve">integration. Using synthetic oligonucleotides, appropriate chemical modifications can be introduced to increase the overall specificity and targeting efficiency for the site directed RNA editing. The OPERA oligonucleotides are designed to be highly site selective with minimal to no bystander effects or halo effects. To assess global off-target editing, we use a bulk RNA-seq approach to detect base frequency changes at potential off target sites between control and treated samples. We sequence target amplicons via next-generation sequencing and assess potential A to G editing at all sites across the transcript. In preclinical </w:t>
      </w:r>
      <w:r>
        <w:rPr>
          <w:rFonts w:ascii="Times New Roman" w:hAnsi="Times New Roman"/>
          <w:i/>
          <w:color w:val="000000"/>
          <w:sz w:val="20"/>
        </w:rPr>
        <w:t>in vivo</w:t>
      </w:r>
      <w:r>
        <w:rPr>
          <w:color w:val="000000"/>
        </w:rPr>
        <w:t xml:space="preserve"> </w:t>
      </w:r>
      <w:r>
        <w:rPr>
          <w:rFonts w:ascii="Times New Roman" w:hAnsi="Times New Roman"/>
          <w:color w:val="000000"/>
          <w:sz w:val="20"/>
        </w:rPr>
        <w:t>studies, we have shown that off-target RNA editing using our technology is negligible and transient.</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Delivery</w:t>
      </w:r>
      <w:r>
        <w:rPr>
          <w:rFonts w:ascii="Times New Roman" w:hAnsi="Times New Roman"/>
          <w:color w:val="000000"/>
          <w:sz w:val="20"/>
        </w:rPr>
        <w:t xml:space="preserve">: Oligonucleotide-based ADAR-mediated RNA leverages well-established, clinically precedented delivery approaches used in other approved products, such as ligand-based approaches. One example of a well-established and clinically validated ligand-based delivery approach is GalNAc delivery of oligonucleotides, which provides highly specific and effective delivery to hepatocytes with improved durability and enables convenient subcutaneous administration. Multiple FDA-approved products utilize GalNAc-conjugated delivery, including GIVLAARI and OXLUMO.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Tolerability</w:t>
      </w:r>
      <w:r>
        <w:rPr>
          <w:rFonts w:ascii="Times New Roman" w:hAnsi="Times New Roman"/>
          <w:color w:val="000000"/>
          <w:sz w:val="20"/>
        </w:rPr>
        <w:t xml:space="preserve">: ADAR-mediated RNA editing has a low risk of immunogenicity and can potentially lower off-target editing events resulting in an improved tolerability profile compared to DNA editing approaches. The lower risk of immunogenicity enables the ability to re-dose patients if required, a significant limitation of editing approaches that utilize viral vectors and bacterial Cas systems that carry a higher risk of immunogenicity. The transient and reversible nature of ADAR-based editing confers an ability to modify or cease dosing as needed.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Manufacturing</w:t>
      </w:r>
      <w:r>
        <w:rPr>
          <w:rFonts w:ascii="Times New Roman" w:hAnsi="Times New Roman"/>
          <w:color w:val="000000"/>
          <w:sz w:val="20"/>
        </w:rPr>
        <w:t xml:space="preserve">: Reliance on endogenous ADAR enzymes and the simple drug constructs of oligonucleotide-based therapies has significant advantages over the complexities associated with the manufacturing and delivery of multi-component exogenous complexes used in DNA editing. Manufacturing processes for oligonucleotide-based therapies are well established, cost efficient and scalable to effectively address highly prevalent indications.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Regulatory</w:t>
      </w:r>
      <w:r>
        <w:rPr>
          <w:rFonts w:ascii="Times New Roman" w:hAnsi="Times New Roman"/>
          <w:color w:val="000000"/>
          <w:sz w:val="20"/>
        </w:rPr>
        <w:t xml:space="preserve">: Precedence of marketed oligonucleotide drugs with similar size and types of chemical modifications that therapeutic RNA editing lead candidates exhibit. Guidance for the development of oligonucleotide therapeutics by global agencies, including the FDA, provides for an established pathway for the approval of this class of therapeutics. However, regulators have not yet established any definitive guidelines related to overall development considerations for RNA editing therapies and limited clinical data has been generated to date. </w:t>
      </w:r>
    </w:p>
    <w:p>
      <w:pPr>
        <w:pStyle w:val="TextBody"/>
        <w:bidi w:val="0"/>
        <w:spacing w:before="360" w:after="283"/>
        <w:jc w:val="left"/>
        <w:rPr>
          <w:rFonts w:ascii="Times New Roman" w:hAnsi="Times New Roman"/>
          <w:sz w:val="20"/>
        </w:rPr>
      </w:pPr>
      <w:r>
        <w:rPr>
          <w:rFonts w:ascii="Times New Roman" w:hAnsi="Times New Roman"/>
          <w:b/>
          <w:color w:val="000000"/>
          <w:sz w:val="20"/>
        </w:rPr>
        <w:t>Our OPERA – Oligonucleotide Promoted Editing of RNA –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we are the leading RNA editing company and have assembled a suite of technologies and capabilities called OPERA, Oligonucleotide Promoted Editing of RNA, to generate differentiated RNA editing lead candidates. A key challenge in developing a therapeutic approach for site-directed RNA editing is to design and optimize oligonucleotides that can drive high-efficiency. This efficiency is facilitated both by the ability to repurpose and optimize oligonucleotide constructs based on existing methods as well as utilizing computational methods to innovate on chemistry and design of the constructs. Our oligonucleotides capable of forming Watson-Crick base pairing with the target RNA and efficiently inducing the deamination reaction by endogenously recruiting ADAR enzymes.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assembled a suite of technologies and capabilities to build our RNA editing platform, Oligonucleotide Promoted Editing of RNA, or OPERA.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 relies on the following key components that enable us to generate our differentiated RNA editing oligonucleotides: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Expertise in ADAR biology:</w:t>
      </w:r>
      <w:r>
        <w:rPr>
          <w:color w:val="000000"/>
        </w:rPr>
        <w:t xml:space="preserve"> </w:t>
      </w:r>
      <w:r>
        <w:rPr>
          <w:rFonts w:ascii="Times New Roman" w:hAnsi="Times New Roman"/>
          <w:color w:val="000000"/>
          <w:sz w:val="20"/>
        </w:rPr>
        <w:t xml:space="preserve">Our insights and know-how of ADAR biology allow us to design oligonucleotides that efficiently recruit ADARs and promote deamination while maintaining selectivity and stability. RNA editing is dependent on endogenous ADAR expression levels and requires expertise in the physiological role of ADAR, its cell and tissue distribution, the factors that lead to efficient recruitment of ADAR to targeted sites and any consequences that may arise from co-opting ADAR from its normal function.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found no evidence that our RNA editing oligonucleotides interfere with endogenous RNA editing occurring naturally in a cell. ADAR naturally edits thousands of targets for a variety of reasons. We have looked at natural editing sites and chose AJUBA, COG and COPA as they have shown to be edited by ADAR to different degrees. In this experiment outlined in Figure 3, ZZ HLC cell lines were transfected with RNA editing oligonucleotides targeting two different genes. The assays were evaluated for % editing for Target A and Target B sites as well as natural editing sites in COG, COPA and AJUBA. As shown below, natural editing sites remained unaffected compared to the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control group, demonstrating that our RNA editing oligonucleotides are not likely to have any effect on the degree of editing of native RNA molecules.</w:t>
      </w:r>
      <w:r>
        <w:rPr>
          <w:color w:val="000000"/>
        </w:rPr>
        <w:t xml:space="preserve"> </w:t>
      </w:r>
    </w:p>
    <w:p>
      <w:pPr>
        <w:pStyle w:val="TextBody"/>
        <w:bidi w:val="0"/>
        <w:spacing w:before="120" w:after="283"/>
        <w:jc w:val="center"/>
        <w:rPr/>
      </w:pPr>
      <w:r>
        <w:rPr/>
        <w:drawing>
          <wp:inline distT="0" distB="0" distL="0" distR="0">
            <wp:extent cx="5353050" cy="1933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53050" cy="193357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000000"/>
          <w:sz w:val="20"/>
        </w:rPr>
        <w:t>Figure 3. Our RNA editing oligonucleotides show no evidence of interference with endogenous ADAR editing as demonstrated at the above endogenous sites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Expertise in oligonucleotide chemistry:</w:t>
      </w:r>
      <w:r>
        <w:rPr>
          <w:color w:val="000000"/>
        </w:rPr>
        <w:t xml:space="preserve"> </w:t>
      </w:r>
      <w:r>
        <w:rPr>
          <w:rFonts w:ascii="Times New Roman" w:hAnsi="Times New Roman"/>
          <w:color w:val="000000"/>
          <w:sz w:val="20"/>
        </w:rPr>
        <w:t xml:space="preserve">We have a differentiated ability to create oligonucleotide designs capable of efficiently recruiting endogenous ADAR with chemical modifications that direct high specificity editing. Our oligonucleotides increase the potency and durability of ADAR activation, thereby increasing the editing efficiency and translational efficacy of our RNA editing oligonucleotides. We have identified critical structural, sequence, and chemistry requirements for our RNA editing oligonucleotides that drive efficient recruitment of ADARs and subsequent A-to-I editing. Examples of differentiation include oligonucleotide length for efficient ADAR recruitment, use of precedented and proprietary chemistries within the oligonucleotide, as well as backbone chemistries that provide improved metabolic stability. Additionally, we combine this with 2’ modification chemistries that, together, create oligonucleotides with improved editing efficiency and durability. As RNA editing is an emerging technology, there is a lack of guiding principles to design site-selective RNA editing oligonucleotides. To address this knowledge gap, we developed a robust in-house process using our high-throughput cell-based assay and machine learning capabilities to design and synthesize up to approximately 1,200 oligonucleotides per month and generate up to 6,000 assay data points for any given target.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Machine learning optimization of oligonucleotides and target identification:</w:t>
      </w:r>
      <w:r>
        <w:rPr>
          <w:color w:val="000000"/>
        </w:rPr>
        <w:t xml:space="preserve"> </w:t>
      </w:r>
      <w:r>
        <w:rPr>
          <w:rFonts w:ascii="Times New Roman" w:hAnsi="Times New Roman"/>
          <w:color w:val="000000"/>
          <w:sz w:val="20"/>
        </w:rPr>
        <w:t xml:space="preserve">We have built data science capabilities and a dedicated team to extract lessons from existing and newly generated experimental data to expeditiously and efficiently design and optimize RNA editing oligonucleotides. Our proprietary machine learning models have been trained to accurately predict oligonucleotide structure and observed levels of editing. We have been able to demonstrate that these models are able to make accurate editing predictions even for previously unseen chemical modifications demonstrating their generalizability across targets. We have demonstrated the utility of our machine learning models through an increase in overall editing efficiency of new RNA editing oligonucleotides. In some cases, we have been able to go from design-to-data in as little as five weeks. However, there is no guarantee that this will result in an accelerated development or approval timeline, if at all. </w:t>
      </w:r>
    </w:p>
    <w:p>
      <w:pPr>
        <w:pStyle w:val="TextBody"/>
        <w:bidi w:val="0"/>
        <w:spacing w:before="120" w:after="283"/>
        <w:jc w:val="center"/>
        <w:rPr/>
      </w:pPr>
      <w:r>
        <w:rPr/>
        <w:drawing>
          <wp:inline distT="0" distB="0" distL="0" distR="0">
            <wp:extent cx="3819525" cy="1847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19525" cy="1847850"/>
                    </a:xfrm>
                    <a:prstGeom prst="rect">
                      <a:avLst/>
                    </a:prstGeom>
                  </pic:spPr>
                </pic:pic>
              </a:graphicData>
            </a:graphic>
          </wp:inline>
        </w:drawing>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Figure 4. We have shown our ability to rapidly iterate RNA editing oligonucleotides to maximize editing efficiency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Structural modeling is another tool that complements our ability to increase the efficiency of our RNA editing oligonucleotides. Detailed structural modeling includes shape, size and orientation requirements that can lead to successful deamination at the editing site. These aspects have an important impact on our ability to optimize RNA editing oligonucleotides. As an example, a modification predicted by structural analyses led to a conformational change that was shown to improve editing efficiency in the coding region of the Target A </w:t>
      </w:r>
      <w:r>
        <w:rPr>
          <w:rFonts w:ascii="Times New Roman" w:hAnsi="Times New Roman"/>
          <w:i/>
          <w:color w:val="000000"/>
          <w:sz w:val="20"/>
        </w:rPr>
        <w:t>in vivo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Leveraging known delivery modalities:</w:t>
      </w:r>
      <w:r>
        <w:rPr>
          <w:color w:val="000000"/>
        </w:rPr>
        <w:t xml:space="preserve"> </w:t>
      </w:r>
      <w:r>
        <w:rPr>
          <w:rFonts w:ascii="Times New Roman" w:hAnsi="Times New Roman"/>
          <w:color w:val="000000"/>
          <w:sz w:val="20"/>
        </w:rPr>
        <w:t xml:space="preserve">Our RNA editing oligonucleotides utilize short synthetic oligonucleotides, which we believe can be efficiently delivered using technologies such as GalNAc, which is well established and clinically validated and has been developed for precedented modalities such as siRNAs and ASOs. GalNAc has optimal characteristics suited for a given therapeutic application, and we believe has the potential to derisk our lead candidates. Using RNA editing oligonucleotides, we achieved greater than 50% editing in vivo utilizing a ligand-based GalNAc conjugate delivery approach. Ligand-based approaches (e.g., GalNAc for liver hepatocytes) can also be used for effective delivery and to improve durability with OPERA’s RNA editing oligonucleotides, which we have also evaluated in preclinical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models. In contrast to treatments targeting liver hepatocytes where there is a need for a delivery system, our RNA editing oligonucleotides have been delivered intrathecally to the central nervous system without a need for any delivery system in preclinical mouse models. Thus, our choice of delivery system is a fit-for-purpose model that is dependent on the oligonucleotide design as well the suitability for the indication and tissue localization of the target. </w:t>
      </w:r>
    </w:p>
    <w:p>
      <w:pPr>
        <w:pStyle w:val="TextBody"/>
        <w:bidi w:val="0"/>
        <w:spacing w:before="360" w:after="283"/>
        <w:jc w:val="left"/>
        <w:rPr>
          <w:rFonts w:ascii="Times New Roman" w:hAnsi="Times New Roman"/>
          <w:sz w:val="20"/>
        </w:rPr>
      </w:pPr>
      <w:r>
        <w:rPr>
          <w:rFonts w:ascii="Times New Roman" w:hAnsi="Times New Roman"/>
          <w:b/>
          <w:color w:val="000000"/>
          <w:sz w:val="20"/>
        </w:rPr>
        <w:t>Our Pipeline Demonstrates the Versatility of the OPERA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advancing a broad pipeline of four programs that are wholly owned and demonstrate the versatility of our OPERA platform. We also have the opportunity to advance up to two programs under our collaboration with Novo Nordisk, which entered a 12-month pause in November 2025. Our most advanced program, KRRO-121 for hyperammonemia, is advancing toward a regulatory filing anticipated in the second half of 2026. Our AATD program is progressing with a next-generation GalNAc-conjugated candidate, with development candidate nomination expected in the second quarter of 2026. All of our programs are in the research or preclinical stage of development. The risk of failure of all of our programs is high.</w:t>
      </w:r>
    </w:p>
    <w:p>
      <w:pPr>
        <w:pStyle w:val="TextBody"/>
        <w:bidi w:val="0"/>
        <w:spacing w:before="120" w:after="283"/>
        <w:jc w:val="center"/>
        <w:rPr/>
      </w:pPr>
      <w:r>
        <w:rPr/>
        <w:drawing>
          <wp:inline distT="0" distB="0" distL="0" distR="0">
            <wp:extent cx="6619875" cy="2247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19875" cy="2247900"/>
                    </a:xfrm>
                    <a:prstGeom prst="rect">
                      <a:avLst/>
                    </a:prstGeom>
                  </pic:spPr>
                </pic:pic>
              </a:graphicData>
            </a:graphic>
          </wp:inline>
        </w:drawing>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1"/>
        </w:rPr>
        <w:t>1</w:t>
      </w:r>
      <w:r>
        <w:rPr>
          <w:rFonts w:ascii="Times New Roman" w:hAnsi="Times New Roman"/>
          <w:i/>
          <w:color w:val="000000"/>
          <w:sz w:val="16"/>
        </w:rPr>
        <w:t>De novo</w:t>
      </w:r>
      <w:r>
        <w:rPr>
          <w:rFonts w:ascii="Times New Roman" w:hAnsi="Times New Roman"/>
          <w:color w:val="000000"/>
          <w:sz w:val="20"/>
        </w:rPr>
        <w:t xml:space="preserve"> </w:t>
      </w:r>
      <w:r>
        <w:rPr>
          <w:rFonts w:ascii="Times New Roman" w:hAnsi="Times New Roman"/>
          <w:color w:val="000000"/>
          <w:sz w:val="16"/>
        </w:rPr>
        <w:t>protein variant to prevent toxic GoF with TDP43 aggregation and continue downstream signaling by overcoming toxic LOF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85% of the human proteome has historically been considered undruggable through traditional therapeutic modalities as many proteins lack defined small molecule binding sites or are inaccessible by biologics. The versatility of RNA editing, combined with our OPERA platform, addresses a meaningful portion of the undruggable human proteome and broadens the target space. Our target identification and selection for programs is based on strong genetic evidence implicating each target in its disease pathology.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center"/>
        <w:rPr/>
      </w:pPr>
      <w:r>
        <w:rPr/>
        <w:drawing>
          <wp:inline distT="0" distB="0" distL="0" distR="0">
            <wp:extent cx="5486400" cy="2352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0" cy="235267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20"/>
        </w:rPr>
        <w:t>Figure 5: Applications of RNA editing are broad and can be applied in multiple ways to generate a de novo protein with enhanced and augmented properties by just modifying a single amino acid through RNA editing.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initial focus is to make edits to the coding region of a transcriptome. Making changes post-transcriptionally, after the mRNA has been created and prior to the protein being translated, provides an exquisite, selective approach for modifying proteins. In preclinical studies, we have demonstrated that single RNA changes can stabilize proteins, disrupt protein-protein interactions, prevent protein aggregation, selectively modulate an ion channel and selectively activate a kinase. These modification approaches have the potential to unlock validated target classes that have historically been difficult to drug, enabling us to pursue a broad range of diseases, including those with high prevalence and large market opportunities. </w:t>
      </w:r>
    </w:p>
    <w:p>
      <w:pPr>
        <w:pStyle w:val="TextBody"/>
        <w:bidi w:val="0"/>
        <w:spacing w:before="120" w:after="283"/>
        <w:jc w:val="left"/>
        <w:rPr>
          <w:rFonts w:ascii="Times New Roman" w:hAnsi="Times New Roman"/>
          <w:sz w:val="20"/>
        </w:rPr>
      </w:pPr>
      <w:r>
        <w:rPr>
          <w:rFonts w:ascii="Times New Roman" w:hAnsi="Times New Roman"/>
          <w:i/>
          <w:color w:val="000000"/>
          <w:sz w:val="20"/>
        </w:rPr>
        <w:t>Stabilize Protein</w:t>
      </w:r>
      <w:r>
        <w:rPr>
          <w:rFonts w:ascii="Times New Roman" w:hAnsi="Times New Roman"/>
          <w:color w:val="000000"/>
          <w:sz w:val="20"/>
        </w:rPr>
        <w:t xml:space="preserve">: We are using OPERA to engineer protein stability and enable synthetic rescue. Enabling synthetic rescue provides a novel modality to target intracellular proteins. Our lead program, KRRO-121, exemplifies this synthetic rescue approach by engineering a </w:t>
      </w:r>
      <w:r>
        <w:rPr>
          <w:rFonts w:ascii="Times New Roman" w:hAnsi="Times New Roman"/>
          <w:i/>
          <w:color w:val="000000"/>
          <w:sz w:val="20"/>
        </w:rPr>
        <w:t xml:space="preserve">de novo </w:t>
      </w:r>
      <w:r>
        <w:rPr>
          <w:rFonts w:ascii="Times New Roman" w:hAnsi="Times New Roman"/>
          <w:color w:val="000000"/>
          <w:sz w:val="20"/>
        </w:rPr>
        <w:t>GS protein with a single amino acid change that is designed to prevent glutamine-induced proteasomal degradation, thereby maintaining ammonia clearance capacity. This approach creates a protein that is engineered to retain full enzymatic activity while resisting the natural degradation pathway, highlighting the broad capabilities of what our OPERA RNA editing platform can accomplish in driving biological change. By focusing specifically on hepatocytes, and delivering our RNA editing oligonucleotides via a GalNAc conjugate, we have the ability to provide control over the cell types on which the GS is stabilized, thereby enhancing the safety profile of the candidate.</w:t>
      </w:r>
    </w:p>
    <w:p>
      <w:pPr>
        <w:pStyle w:val="TextBody"/>
        <w:bidi w:val="0"/>
        <w:jc w:val="left"/>
        <w:rPr/>
      </w:pPr>
      <w:r>
        <w:rPr/>
        <w:t> </w:t>
      </w:r>
    </w:p>
    <w:p>
      <w:pPr>
        <w:pStyle w:val="TextBody"/>
        <w:bidi w:val="0"/>
        <w:spacing w:before="120" w:after="283"/>
        <w:jc w:val="center"/>
        <w:rPr/>
      </w:pPr>
      <w:r>
        <w:rPr/>
        <w:drawing>
          <wp:inline distT="0" distB="0" distL="0" distR="0">
            <wp:extent cx="5438775" cy="2152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38775" cy="2152650"/>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6. KRRO-121 introduces a single amino acid change in GS to enhance ammonia clearance</w:t>
      </w:r>
    </w:p>
    <w:p>
      <w:pPr>
        <w:pStyle w:val="TextBody"/>
        <w:bidi w:val="0"/>
        <w:spacing w:before="120" w:after="283"/>
        <w:jc w:val="left"/>
        <w:rPr>
          <w:rFonts w:ascii="Times New Roman" w:hAnsi="Times New Roman"/>
          <w:sz w:val="20"/>
        </w:rPr>
      </w:pPr>
      <w:r>
        <w:rPr>
          <w:rFonts w:ascii="Times New Roman" w:hAnsi="Times New Roman"/>
          <w:i/>
          <w:color w:val="000000"/>
          <w:sz w:val="20"/>
        </w:rPr>
        <w:t>Repairing pathogenic variants:</w:t>
      </w:r>
      <w:r>
        <w:rPr>
          <w:rFonts w:ascii="Times New Roman" w:hAnsi="Times New Roman"/>
          <w:color w:val="000000"/>
          <w:sz w:val="20"/>
        </w:rPr>
        <w:t xml:space="preserve"> Our OPERA platform enables the development of RNA editing therapies that can repair SNVs on RNA to express normal proteins through the introduction of precise genetic changes without creating permanent changes to the genome. These normal proteins can be uniquely expressed at desired levels and duration to address both rare and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highly prevalent diseases caused by a pathogenic SNV. This approach is especially relevant when the same underlying genetic SNV manifests in a broad disease phenotype from mild to severe forms of the disease.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program for AATD addresses a single genetic SNV in the SERPINA1 gene that causes the development of AAT deficiency, which has a high unmet medical need and for which there are no disease modifying treatment options. The disease manifests with a heterogenous population having both liver and lung pathologies. By specifically editing a single nucleotide, the normal synthesis of AAT is restored, resulting in secretion of normal AAT to levels that are predicted to protect the lung from further decline in function. The correction of a subset of AAT produced also prevents aggregation of AAT protein in the liver, thereby potentially alleviating damage to the liver. </w:t>
      </w:r>
    </w:p>
    <w:p>
      <w:pPr>
        <w:pStyle w:val="TextBody"/>
        <w:bidi w:val="0"/>
        <w:spacing w:before="120" w:after="283"/>
        <w:jc w:val="center"/>
        <w:rPr/>
      </w:pPr>
      <w:r>
        <w:rPr/>
        <w:drawing>
          <wp:inline distT="0" distB="0" distL="0" distR="0">
            <wp:extent cx="3019425" cy="2466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019425" cy="246697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7: A glutamic acid was converted to a lysine with a single RNA edit, leading to the correction of the AAT protein in patients with AATD with a at least a single Z-allele</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Target Classes: </w:t>
      </w:r>
      <w:r>
        <w:rPr>
          <w:rFonts w:ascii="Times New Roman" w:hAnsi="Times New Roman"/>
          <w:color w:val="000000"/>
          <w:sz w:val="20"/>
        </w:rPr>
        <w:t xml:space="preserve">In addition to engineering protein stability and repairing proteins, we are also advancing lead candidates to selectively activate intracellular kinases in the liver and in the central nervous system to prevent protein aggregation within neuronal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Rather than treating late-stage disease, we are focused on extending organ health-span, or longevity. The three fundamental reasons as to why organs age are: metabolic dysfunction, oxidative stress, and inflammation accumulation. AMPK, when activated, inhibits anabolic pathways like lipogenesis and protein synthesis, activates catabolic pathways including fatty acid oxidation and autophagy, and regulates glucose homeostasis by enhancing insulin sensitivity. The γ1 subunit—AMPKγ1—represents the optimal liver therapeutic target because of its hepatocyte enrichment. Our longevity and liver health program targeting AMPKγ1 in the liver exemplifies our kinase activation approach, where a single RNA edit is designed to activate a master metabolic regulator with the goal of restoring metabolic status and improving liver function.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to our longevity and liver health program, we have been focused on creating a </w:t>
      </w:r>
      <w:r>
        <w:rPr>
          <w:rFonts w:ascii="Times New Roman" w:hAnsi="Times New Roman"/>
          <w:i/>
          <w:color w:val="000000"/>
          <w:sz w:val="20"/>
        </w:rPr>
        <w:t>de novo</w:t>
      </w:r>
      <w:r>
        <w:rPr>
          <w:rFonts w:ascii="Times New Roman" w:hAnsi="Times New Roman"/>
          <w:color w:val="000000"/>
          <w:sz w:val="20"/>
        </w:rPr>
        <w:t xml:space="preserve"> version of a normal protein that, under certain disease states, can prevent the aggregation of the native version, while preserving the native protein’s intrinsic function. This is a therapeutic approach that has the potential to provide a differentiated therapeutic option over knocking down or silencing the protein through alternate mechanisms. Intracellular protein aggregation is a cause of multiple diseases across the body. Specifically in neurodegenerative diseases, accumulation of specific proteins within neurons are pathogenic including Alzheimer’s disease, Parkinson’s disease, and ALS. In pathological conditions, such as ALS, TAR DNA-binding protein 43, or TDP-43, is depleted from the nucleus and accumulates as protein aggregates in the cytoplasm in hyperphosphorylated, ubiquitinated, and cleaved forms. These aggregates are observed in more than 90% of ALS patients. A single RNA edit to TDP-43 transcript is predicted to lead to the synthesis of a </w:t>
      </w:r>
      <w:r>
        <w:rPr>
          <w:rFonts w:ascii="Times New Roman" w:hAnsi="Times New Roman"/>
          <w:i/>
          <w:color w:val="000000"/>
          <w:sz w:val="20"/>
        </w:rPr>
        <w:t>de novo</w:t>
      </w:r>
      <w:r>
        <w:rPr>
          <w:rFonts w:ascii="Times New Roman" w:hAnsi="Times New Roman"/>
          <w:color w:val="000000"/>
          <w:sz w:val="20"/>
        </w:rPr>
        <w:t xml:space="preserve"> protein that does not aggregate and preserves its normal function. Given TDP-43 is essential for neuronal health, knocking down the protein could be detrimental.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3695700" cy="2047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95700" cy="204787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000000"/>
          <w:sz w:val="20"/>
        </w:rPr>
        <w:t>Figure 8. Our lead candidates can reduce pathogenic aggregation of undesirable proteins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elegance and versatility of our RNA editing approach will enable a robust pipeline of potentially disease modifying development candidates to treat diseases previously unattainable by genetic medicine approaches. While the above examples demonstrate the breadth of applications enabled by OPERA, we believe our RNA editing approach will bring the first genetic medicine to address the complex genetic underpinnings of highly prevalent diseases.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Hyperammonemia Program: KRRO-121 – Stabilizing Glutamine Synthetase to Clear Ammonia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development candidate, KRRO-121, is a potential first-in-class treatment for hyperammonemia that could address substantial unmet need in patients with poor ammonia control, including those with UCD and HE. KRRO-121 is an RNA-editing oligonucleotide conjugated with GalNAc to deliver the construct specifically to the liver. Utilizing our proprietary OPERA platform, KRRO-121 is designed to generate a stabilized, </w:t>
      </w:r>
      <w:r>
        <w:rPr>
          <w:rFonts w:ascii="Times New Roman" w:hAnsi="Times New Roman"/>
          <w:i/>
          <w:color w:val="000000"/>
          <w:sz w:val="20"/>
        </w:rPr>
        <w:t>de novo</w:t>
      </w:r>
      <w:r>
        <w:rPr>
          <w:rFonts w:ascii="Times New Roman" w:hAnsi="Times New Roman"/>
          <w:color w:val="000000"/>
          <w:sz w:val="20"/>
        </w:rPr>
        <w:t xml:space="preserve"> variant of GS with enhanced ammonia clearance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an estimated 4,200 severe late-onset UCD patients in United States, and 5,100 in the European Union and United Kingdom, and there are approximately 80,000 addressable patients in the United States with severe or recurring HE, high ammonia levels (≥1.5x upper limit of normal), and sufficient liver function may benefit from ammonia-lowering treatment, with approximately an additional 150,000 patients in the European Union and United Kingdom.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inherent benefits of ADAR-based RNA editing described earlier, we believe our approach for potentially treating hyperammonemia has additional potential advantages: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Provides a pan-UCD approach addressing multiple UCD subtypes irrespective of their enzyme deficiencies in the urea cycle.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Stabilization of GS protein specifically in the liver.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Convenient subcutaneous delivery with the potential for &gt;once in 2-week delivery using precedented GalNAc-conjugated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for additional benefits including a reduction in hyperammonemic crises and diet liberalization for UCD patients, and a reduction in HE events for HE patients.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generated compelling preclinical data demonstrating proof of concept for stabilizing GS using mouse surrogate compounds as well as for KRRO-121 in human systems. KRRO-121 maintains GS protein levels during ammonia challenge in OTC-deficient and ASS1-deficient iPSC-derived hepatocytes. In OTC-deficient mice challenged with ammonia, treatment with a mouse-optimized oligonucleotide reduced ammonia, supporting the potential to both maintain ammonia levels as well as the potential to increase protein intake and dietary liberalization in patients with UCD. In CPS-1 deficient mice, ammonia was reduced post-ammonia challenge, with nonsignificant increase in plasma glutamine levels. In a humanized liver mouse model (PXB), KRRO-121 reduced basal ammonia levels and enhanced ammonia clearance following challenge, with production of stabilized </w:t>
      </w:r>
      <w:r>
        <w:rPr>
          <w:rFonts w:ascii="Times New Roman" w:hAnsi="Times New Roman"/>
          <w:i/>
          <w:color w:val="000000"/>
          <w:sz w:val="20"/>
        </w:rPr>
        <w:t>de novo</w:t>
      </w:r>
      <w:r>
        <w:rPr>
          <w:rFonts w:ascii="Times New Roman" w:hAnsi="Times New Roman"/>
          <w:color w:val="000000"/>
          <w:sz w:val="20"/>
        </w:rPr>
        <w:t xml:space="preserve"> GS variant. In NHPs, KRRO-121 displayed &gt;90% delivery to liver, confirmed liver localization with pericentral GS, and no observed changes in liver or kidney function, coagulation, complement, platelets, or cytokines.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preclinical data, we believe KRRO-121 has potential to be a first-in-class treatment for ammonia control. We anticipate submitting a regulatory filing to enable commencement of a first-in-human trial in the second half of 2026. The compelling product profile for controlling ammonia is expected to drive strong patient engagement and recruitment. While we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believe we can demonstrate many of the key advantages of RNA editing, we are very early in our development efforts and not yet certain of the results we may achieve. Such uncertainties include, but are not limited to, the level of editing efficiency needed in a target tissue type to achieve a clinical benefit, and associated safety of our edits in humans.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Hyperammonemia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Ammonia is a toxic byproduct of protein metabolism. The body clears ammonia through two complementary pathways: the urea cycle, which is expressed primarily in the liver and converts ammonia to urea for excretion, and the GS pathway, which is expressed in many tissues including the liver, brain and muscle, and converts ammonia and glutamate into glutamine.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Hyperammonemia, characterized by elevated levels of toxic ammonia in the blood, is a life-threatening condition resulting from the body’s diminished clearance capacity. When this clearance is compromised, ammonia accumulates systemically, driving pathology across multiple disease states. High ammonia levels are directly linked to severe clinical outcomes. The pathology of hyperammonemia manifests through: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Neurological Impairment:</w:t>
      </w:r>
      <w:r>
        <w:rPr>
          <w:color w:val="000000"/>
        </w:rPr>
        <w:t xml:space="preserve"> </w:t>
      </w:r>
      <w:r>
        <w:rPr>
          <w:rFonts w:ascii="Times New Roman" w:hAnsi="Times New Roman"/>
          <w:color w:val="000000"/>
          <w:sz w:val="20"/>
        </w:rPr>
        <w:t>Elevated ammonia is neurotoxic, leading to cognitive decline, encephalopathy, and potentially permanent brain damage.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Systemic Complications:</w:t>
      </w:r>
      <w:r>
        <w:rPr>
          <w:color w:val="000000"/>
        </w:rPr>
        <w:t xml:space="preserve"> </w:t>
      </w:r>
      <w:r>
        <w:rPr>
          <w:rFonts w:ascii="Times New Roman" w:hAnsi="Times New Roman"/>
          <w:color w:val="000000"/>
          <w:sz w:val="20"/>
        </w:rPr>
        <w:t>Beyond the brain, hyperammonemia is associated with elevated infection risks and other non-neurological complications.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Severe Lifestyle Restrictions:</w:t>
      </w:r>
      <w:r>
        <w:rPr>
          <w:color w:val="000000"/>
        </w:rPr>
        <w:t xml:space="preserve"> </w:t>
      </w:r>
      <w:r>
        <w:rPr>
          <w:rFonts w:ascii="Times New Roman" w:hAnsi="Times New Roman"/>
          <w:color w:val="000000"/>
          <w:sz w:val="20"/>
        </w:rPr>
        <w:t>Patients currently face highly restricted diets to limit protein intake, which can paradoxically lead to malnutrition and metabolic instability.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High Healthcare Utilization:</w:t>
      </w:r>
      <w:r>
        <w:rPr>
          <w:color w:val="000000"/>
        </w:rPr>
        <w:t xml:space="preserve"> </w:t>
      </w:r>
      <w:r>
        <w:rPr>
          <w:rFonts w:ascii="Times New Roman" w:hAnsi="Times New Roman"/>
          <w:color w:val="000000"/>
          <w:sz w:val="20"/>
        </w:rPr>
        <w:t>Uncontrolled ammonia drives frequent, costly hospitalizations.</w:t>
      </w:r>
    </w:p>
    <w:p>
      <w:pPr>
        <w:pStyle w:val="TextBody"/>
        <w:bidi w:val="0"/>
        <w:spacing w:before="360" w:after="283"/>
        <w:jc w:val="left"/>
        <w:rPr>
          <w:rFonts w:ascii="Times New Roman" w:hAnsi="Times New Roman"/>
          <w:sz w:val="20"/>
        </w:rPr>
      </w:pPr>
      <w:r>
        <w:rPr>
          <w:rFonts w:ascii="Times New Roman" w:hAnsi="Times New Roman"/>
          <w:i/>
          <w:color w:val="000000"/>
          <w:sz w:val="20"/>
        </w:rPr>
        <w:t>Glutamine Synthetase and its function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GS is an enzyme primarily responsible for clearing toxic ammonia from the body. It catalyzes the condensation of glutamate and ammonia to form glutamine. This reaction is a critical, complementary pathway to the urea cycle for detoxifying ammonia. While the urea cycle is expressed primarily in the liver, GS is expressed in many tissues, including the liver, brain, and muscle. GS plays a “scavenging” role, in addition to the urea cycle, to prevent the ammonia from staying in systemic circulation. The stability and activity of GS are tightly regulated by the levels of its product, glutamine. When glutamine levels rise, it drives the degradation of GS protein through known mechanisms. This degradation mechanism involves the acetylation of key N-terminal lysine residues on the GS protein, which tags it for proteasomal degradation. This creates a feedback loop where high glutamine leads to reduced GS levels, diminishing the body’s ammonia clearance capacity. Conversely, when glutamine is low, GS remains stable (without lysine acetylation) to maximize ammonia clearance.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5295900" cy="2762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295900" cy="2762250"/>
                    </a:xfrm>
                    <a:prstGeom prst="rect">
                      <a:avLst/>
                    </a:prstGeom>
                  </pic:spPr>
                </pic:pic>
              </a:graphicData>
            </a:graphic>
          </wp:inline>
        </w:drawing>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Figure 9. Depicts the glutamine-mediated feedback regulation of GS protein stability, illustrating how elevated glutamine levels trigger degradation of GS, thereby modulating the body’s ammonia clearance capacity.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Urea Cycle Disorders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UCDs are a group of severe, inherited metabolic diseases caused by mutations in the genes that encode one or more of the eight enzymes and transporters necessary to convert ammonia into urea. The inability of the body to properly metabolize ammonia leads to the accumulation of toxic systemic levels in circulation, ultimately resulting in severe health outcomes, such as neurologic disability, seizure and death. UCDs occur across all age groups, from infants to adults, and mild symptoms may go unnoticed until a stressor, such as illness, surgery, protein consumption or environmental stress, overwhelms compensatory functions, resulting in hyperammonemic crisis. The incidence of UCDs in the United States is estimated to be approximately one in 35,000 births. The most common UCD, accounting for approximately 60% of UCD diagnoses, is OTC deficiency. The next two most common genetic subtypes are caused by mutations in the genes coding for the enzymes argininosuccinate lyase, or ASL, and ASS1, affecting approximately 16% and 14% of UCD patients,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approximately 6,500 UCD patients in the United States, of which approximately 4,600 are post-neonatal onset and approximately 4,200 are severe late-onset patients who we believe could benefit from pharmacological therapy. We estimate an additional approximately 5,100 addressable patients exist in the European Union and United Kingdom. There are no FDA-approved, disease-modifying therapies to treat the most prevalent UCDs. The standard of care is supportive in nature and intended to reduce the frequency of, but not eliminate, hyperammonemic crises. Current protocols for patients involve strict adherence to a low-protein diet along with the prophylactic use of nitrogen scavenger agents, which carry an onerous pill regimen and significantly diminish the quality of life for patients. Despite these measures, 20% to 25% of patients experience breakthrough hyperammonemic crises. Liver transplantation is the only definitive treatment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standard of care for all UCD subtypes are drugs that fall in the class of nitrogen scavengers. These include Sodium phenylbutyrate (NaPBA, Buphenyl®) and Glycerol phenylbutyrate (GPB, Ravicti®), both of which are prodrugs of phenylacetic acid, which is converted to phenylacetyl glutamine and excreted in urine. Both the approved products are an oral suspension taken three times a day. The current approved products have the potential to control ammonia levels in UCD patients; however, it is challenging for multiple reasons including compliance in school age kids and adolescents, severe dietary restrictions where the diets sometimes do not resemble food, and both drugs having a narrow therapeutic index despite the need to take it multiple times a day. </w:t>
      </w:r>
    </w:p>
    <w:p>
      <w:pPr>
        <w:pStyle w:val="TextBody"/>
        <w:bidi w:val="0"/>
        <w:spacing w:before="120" w:after="283"/>
        <w:jc w:val="left"/>
        <w:rPr>
          <w:rFonts w:ascii="Times New Roman" w:hAnsi="Times New Roman"/>
          <w:sz w:val="20"/>
        </w:rPr>
      </w:pPr>
      <w:r>
        <w:rPr>
          <w:rFonts w:ascii="Times New Roman" w:hAnsi="Times New Roman"/>
          <w:i/>
          <w:color w:val="000000"/>
          <w:sz w:val="20"/>
        </w:rPr>
        <w:t>Hepatic Encephalopathy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 is a brain dysfunction caused by liver insufficiency and/or portal systemic shunting. Because the damaged liver in cirrhosis cannot function normally, neurotoxins such as ammonia are inadequately removed from systemic circulation and travel to the brain, where they affect neurotransmission. This can cause episodes of HE, which may present as alterations in consciousness, cognition, and behavior that range from minimal to severe. Overt HE occurs in 30% to 40% of patients with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cirrhosis at some point during the clinical course of their disease. As the burden of chronic liver disease and cirrhosis is increasing, the frequency of HE is also increasing.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approximately 2.2 million patients with cirrhosis in the United States, of whom approximately 140,000 experience severe or recurring HE. We estimate that up to approximately 80,000 of these patients who have high ammonia levels and sufficient liver function could potentially benefit from an ammonia-lowering treatment such as KRRO-121. We estimate an additional approximately 150,000 addressable patients in the European Union and United Kingdom. Current standard of care includes rifaximin and lactulose, which reduce ammonia production by gut bacteria but do not directly address ammonia clearance capacity. The unmet need, like UCD patients, is very high. The current standard of care does not reduce ammonia to levels that is needed, drugs approved for UCD are not used in HE patients as they are not approved and/or the compliance in HE patients is challenging given all of the other drugs needed. HE is also not prioritized for a liver transplant. In addition, the healthcare utilization of these patients is one of the highest for patients with liver disease, making the unmet need high both from a medical and pharmacoeconomic standpoint. </w:t>
      </w:r>
    </w:p>
    <w:p>
      <w:pPr>
        <w:pStyle w:val="TextBody"/>
        <w:bidi w:val="0"/>
        <w:spacing w:before="360" w:after="283"/>
        <w:jc w:val="left"/>
        <w:rPr>
          <w:rFonts w:ascii="Times New Roman" w:hAnsi="Times New Roman"/>
          <w:sz w:val="20"/>
        </w:rPr>
      </w:pPr>
      <w:r>
        <w:rPr>
          <w:rFonts w:ascii="Times New Roman" w:hAnsi="Times New Roman"/>
          <w:b/>
          <w:i/>
          <w:color w:val="000000"/>
          <w:sz w:val="20"/>
        </w:rPr>
        <w:t>Alternative Treatments in Development for UCD and HE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treatment landscape for UCD remains an area of active investigation, with multiple modalities in clinical development. Gene therapy and gene editing approaches attempt to deliver a functional copy of the deficient urea cycle gene, most notably OTC. Given the inherent risks associated with DNA-based approaches, both these approaches would likely be most applicable for only the most severe patients, and clinical development is presently limited to only those with OTC deficiency. An mRNA-based approach to deliver functional mRNA to hepatocytes via LNPs has also been tested in patients. However, the requirement for repeated intravenous dosing and the potential for immune responses to the delivery vehicle may limit long-term feasibility and restrict patient independence.</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Our approach has distinct potential advantages over these alternative treatments in development, including:</w:t>
      </w:r>
    </w:p>
    <w:p>
      <w:pPr>
        <w:pStyle w:val="TextBody"/>
        <w:bidi w:val="0"/>
        <w:spacing w:before="0" w:after="150"/>
        <w:jc w:val="left"/>
        <w:rPr>
          <w:color w:val="000000"/>
        </w:rPr>
      </w:pPr>
      <w:r>
        <w:rPr>
          <w:color w:val="000000"/>
        </w:rPr>
        <w:t>•</w:t>
      </w:r>
    </w:p>
    <w:p>
      <w:pPr>
        <w:pStyle w:val="TextBody"/>
        <w:bidi w:val="0"/>
        <w:spacing w:before="0" w:after="150"/>
        <w:jc w:val="left"/>
        <w:rPr>
          <w:rFonts w:ascii="Times New Roman" w:hAnsi="Times New Roman"/>
          <w:color w:val="000000"/>
          <w:sz w:val="20"/>
        </w:rPr>
      </w:pPr>
      <w:r>
        <w:rPr>
          <w:rFonts w:ascii="Times New Roman" w:hAnsi="Times New Roman"/>
          <w:color w:val="000000"/>
          <w:sz w:val="20"/>
        </w:rPr>
        <w:t>Pan-UCD applicability with potential to address all subtypes regardless of genotype.</w:t>
      </w:r>
    </w:p>
    <w:p>
      <w:pPr>
        <w:pStyle w:val="TextBody"/>
        <w:bidi w:val="0"/>
        <w:spacing w:before="0" w:after="150"/>
        <w:jc w:val="left"/>
        <w:rPr>
          <w:color w:val="000000"/>
        </w:rPr>
      </w:pPr>
      <w:r>
        <w:rPr>
          <w:color w:val="000000"/>
        </w:rPr>
        <w:t>•</w:t>
      </w:r>
    </w:p>
    <w:p>
      <w:pPr>
        <w:pStyle w:val="TextBody"/>
        <w:bidi w:val="0"/>
        <w:spacing w:before="0" w:after="150"/>
        <w:jc w:val="left"/>
        <w:rPr>
          <w:rFonts w:ascii="Times New Roman" w:hAnsi="Times New Roman"/>
          <w:color w:val="000000"/>
          <w:sz w:val="20"/>
        </w:rPr>
      </w:pPr>
      <w:r>
        <w:rPr>
          <w:rFonts w:ascii="Times New Roman" w:hAnsi="Times New Roman"/>
          <w:color w:val="000000"/>
          <w:sz w:val="20"/>
        </w:rPr>
        <w:t>Improved ammonia control complementary to the existing standard of care.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Transient, redosable, and titratable approach with convenient subcutaneous 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hepatic encephalopathy, the pipeline remains limited and has faced multiple recent setbacks. Approaches targeting ammonia removal have shown signs of efficacy in early-stage trials, but none appear to be in active clinical development. Microbiome-based approaches have also been tested, but to date, none have successfully progressed through late-stage clinical development for the treatment of HE, and there is limited evidence supporting ammonia-lowering effects of these approaches.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Differentiated Approach: Engineering a Stable GS Variant Through Synthetic Rescue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KRRO-121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KRRO-121 exemplifies our synthetic rescue approach, in which a targeted mRNA edit is introduced to compensate for the functional deficiency caused by a primary disease-causing mutation. Rather than attempting to repair the underlying genetic defect in the urea cycle, KRRO-121 is designed to leverage endogenous ADAR to make a single nucleoside edit to GS mRNA, corresponding to a single amino acid change, thereby creating a </w:t>
      </w:r>
      <w:r>
        <w:rPr>
          <w:rFonts w:ascii="Times New Roman" w:hAnsi="Times New Roman"/>
          <w:i/>
          <w:color w:val="000000"/>
          <w:sz w:val="20"/>
        </w:rPr>
        <w:t>de novo</w:t>
      </w:r>
      <w:r>
        <w:rPr>
          <w:rFonts w:ascii="Times New Roman" w:hAnsi="Times New Roman"/>
          <w:color w:val="000000"/>
          <w:sz w:val="20"/>
        </w:rPr>
        <w:t xml:space="preserve"> GS variant that is designed to bypass the degradation vulnerability and restore ammonia clearance capacity. Under normal physiological conditions, GS is subject to glutamine-induced feedback degradation: when glutamine levels rise, key N-terminal lysine residues on GS are acetylated, leading to ubiquitination and proteasomal degradation of the enzyme. This degradation reduces the cell’s capacity to clear ammonia precisely when ammonia clearance is most needed. The modification introduced by KRRO-121 replaces a lysine residue with an arginine, which is resistant to acetylation and therefore resistant to glutamine-induced degradation. The resultant </w:t>
      </w:r>
      <w:r>
        <w:rPr>
          <w:rFonts w:ascii="Times New Roman" w:hAnsi="Times New Roman"/>
          <w:i/>
          <w:color w:val="000000"/>
          <w:sz w:val="20"/>
        </w:rPr>
        <w:t>de novo</w:t>
      </w:r>
      <w:r>
        <w:rPr>
          <w:rFonts w:ascii="Times New Roman" w:hAnsi="Times New Roman"/>
          <w:color w:val="000000"/>
          <w:sz w:val="20"/>
        </w:rPr>
        <w:t xml:space="preserve"> GS protein is intended to retain full enzymatic activity but resist proteasome-mediated degradation, potentially providing sustained ammonia detoxification capacity regardless of the specific UCD enzyme deficiency. This synthetic rescue strategy is engineered to enable KRRO-121 to address hyperammonemia through a pathway independent of the urea cycle, rather than attempting to repair the specific enzyme deficiency. This approach is supported by human genetic evidence. Published genetic studies have identified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start-loss variants in GS that result in loss of N-terminal lysine residues, leading to stabilized GS protein and stable enzymatic activity. </w:t>
      </w:r>
    </w:p>
    <w:p>
      <w:pPr>
        <w:pStyle w:val="TextBody"/>
        <w:bidi w:val="0"/>
        <w:spacing w:before="120" w:after="283"/>
        <w:jc w:val="left"/>
        <w:rPr/>
      </w:pPr>
      <w:r>
        <w:rPr/>
        <w:t> </w:t>
      </w:r>
    </w:p>
    <w:p>
      <w:pPr>
        <w:pStyle w:val="TextBody"/>
        <w:bidi w:val="0"/>
        <w:spacing w:before="0" w:after="200"/>
        <w:jc w:val="center"/>
        <w:rPr/>
      </w:pPr>
      <w:r>
        <w:rPr/>
        <w:drawing>
          <wp:inline distT="0" distB="0" distL="0" distR="0">
            <wp:extent cx="4676775" cy="23050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676775" cy="2305050"/>
                    </a:xfrm>
                    <a:prstGeom prst="rect">
                      <a:avLst/>
                    </a:prstGeom>
                  </pic:spPr>
                </pic:pic>
              </a:graphicData>
            </a:graphic>
          </wp:inline>
        </w:drawing>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Figure 10. Depicts KRRO-121's lysine residue replacement to create a stabilized de novo GS variant that resists glutamine degradation, intended to maintain ammonia clearance.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believe our approach has multiple potential advantages:</w:t>
      </w:r>
    </w:p>
    <w:p>
      <w:pPr>
        <w:pStyle w:val="TextBody"/>
        <w:bidi w:val="0"/>
        <w:spacing w:before="0" w:after="150"/>
        <w:jc w:val="left"/>
        <w:rPr>
          <w:color w:val="000000"/>
        </w:rPr>
      </w:pPr>
      <w:r>
        <w:rPr>
          <w:color w:val="000000"/>
        </w:rPr>
        <w:t>•</w:t>
      </w:r>
    </w:p>
    <w:p>
      <w:pPr>
        <w:pStyle w:val="TextBody"/>
        <w:bidi w:val="0"/>
        <w:spacing w:before="0" w:after="150"/>
        <w:jc w:val="left"/>
        <w:rPr/>
      </w:pPr>
      <w:r>
        <w:rPr>
          <w:rFonts w:ascii="Times New Roman" w:hAnsi="Times New Roman"/>
          <w:b/>
          <w:color w:val="000000"/>
          <w:sz w:val="20"/>
        </w:rPr>
        <w:t>Pan-UCD approach through synthetic rescue:</w:t>
      </w:r>
      <w:r>
        <w:rPr>
          <w:color w:val="000000"/>
        </w:rPr>
        <w:t xml:space="preserve"> </w:t>
      </w:r>
      <w:r>
        <w:rPr>
          <w:rFonts w:ascii="Times New Roman" w:hAnsi="Times New Roman"/>
          <w:color w:val="000000"/>
          <w:sz w:val="20"/>
        </w:rPr>
        <w:t>By enhancing ammonia clearance through a pathway independent of the urea cycle, KRRO-121 has the potential to benefit patients with UCD regardless of the specific enzyme deficiency, including OTC, ASL, ASS1 and other subtypes.</w:t>
      </w:r>
    </w:p>
    <w:p>
      <w:pPr>
        <w:pStyle w:val="TextBody"/>
        <w:bidi w:val="0"/>
        <w:spacing w:before="0" w:after="150"/>
        <w:jc w:val="left"/>
        <w:rPr>
          <w:color w:val="000000"/>
        </w:rPr>
      </w:pPr>
      <w:r>
        <w:rPr>
          <w:color w:val="000000"/>
        </w:rPr>
        <w:t>•</w:t>
      </w:r>
    </w:p>
    <w:p>
      <w:pPr>
        <w:pStyle w:val="TextBody"/>
        <w:bidi w:val="0"/>
        <w:spacing w:before="0" w:after="150"/>
        <w:jc w:val="left"/>
        <w:rPr/>
      </w:pPr>
      <w:r>
        <w:rPr>
          <w:rFonts w:ascii="Times New Roman" w:hAnsi="Times New Roman"/>
          <w:b/>
          <w:color w:val="000000"/>
          <w:sz w:val="20"/>
        </w:rPr>
        <w:t>Dual indication potential:</w:t>
      </w:r>
      <w:r>
        <w:rPr>
          <w:color w:val="000000"/>
        </w:rPr>
        <w:t xml:space="preserve"> </w:t>
      </w:r>
      <w:r>
        <w:rPr>
          <w:rFonts w:ascii="Times New Roman" w:hAnsi="Times New Roman"/>
          <w:color w:val="000000"/>
          <w:sz w:val="20"/>
        </w:rPr>
        <w:t>The ammonia-lowering mechanism of KRRO-121 may address both UCD and HE, two distinct conditions with a shared pathology of hyperammonemia.</w:t>
      </w:r>
    </w:p>
    <w:p>
      <w:pPr>
        <w:pStyle w:val="TextBody"/>
        <w:bidi w:val="0"/>
        <w:spacing w:before="0" w:after="150"/>
        <w:jc w:val="left"/>
        <w:rPr>
          <w:color w:val="000000"/>
        </w:rPr>
      </w:pPr>
      <w:r>
        <w:rPr>
          <w:color w:val="000000"/>
        </w:rPr>
        <w:t>•</w:t>
      </w:r>
    </w:p>
    <w:p>
      <w:pPr>
        <w:pStyle w:val="TextBody"/>
        <w:bidi w:val="0"/>
        <w:spacing w:before="0" w:after="150"/>
        <w:jc w:val="left"/>
        <w:rPr/>
      </w:pPr>
      <w:r>
        <w:rPr>
          <w:rFonts w:ascii="Times New Roman" w:hAnsi="Times New Roman"/>
          <w:b/>
          <w:color w:val="000000"/>
          <w:sz w:val="20"/>
        </w:rPr>
        <w:t>Convenient subcutaneous delivery:</w:t>
      </w:r>
      <w:r>
        <w:rPr>
          <w:color w:val="000000"/>
        </w:rPr>
        <w:t xml:space="preserve"> </w:t>
      </w:r>
      <w:r>
        <w:rPr>
          <w:rFonts w:ascii="Times New Roman" w:hAnsi="Times New Roman"/>
          <w:color w:val="000000"/>
          <w:sz w:val="20"/>
        </w:rPr>
        <w:t>KRRO-121 utilizes GalNAc-conjugated delivery, a well-established and clinically validated approach that enables convenient subcutaneous administration with targeted delivery to liver hepatocytes.</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Times New Roman" w:hAnsi="Times New Roman"/>
          <w:b/>
          <w:color w:val="000000"/>
          <w:sz w:val="20"/>
        </w:rPr>
        <w:t>Potential for dietary liberalization:</w:t>
      </w:r>
      <w:r>
        <w:rPr>
          <w:color w:val="000000"/>
        </w:rPr>
        <w:t xml:space="preserve"> </w:t>
      </w:r>
      <w:r>
        <w:rPr>
          <w:rFonts w:ascii="Times New Roman" w:hAnsi="Times New Roman"/>
          <w:color w:val="000000"/>
          <w:sz w:val="20"/>
        </w:rPr>
        <w:t>By providing enhanced ammonia clearance capacity, KRRO-121 may enable relaxation of the strict dietary protein restrictions that significantly diminish quality of life for UCD patients.</w:t>
      </w:r>
    </w:p>
    <w:p>
      <w:pPr>
        <w:pStyle w:val="TextBody"/>
        <w:bidi w:val="0"/>
        <w:jc w:val="left"/>
        <w:rPr>
          <w:rFonts w:ascii="Times New Roman" w:hAnsi="Times New Roman"/>
          <w:i/>
          <w:color w:val="000000"/>
          <w:sz w:val="20"/>
        </w:rPr>
      </w:pPr>
      <w:r>
        <w:rPr>
          <w:rFonts w:ascii="Times New Roman" w:hAnsi="Times New Roman"/>
          <w:i/>
          <w:color w:val="000000"/>
          <w:sz w:val="20"/>
        </w:rPr>
        <w:t>Summary of our preclinical studies and data generated leading to KRRO-121 selection</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generated compelling preclinical data establishing proof of concept for KRRO-121 across multiple model systems:</w:t>
      </w:r>
    </w:p>
    <w:p>
      <w:pPr>
        <w:pStyle w:val="TextBody"/>
        <w:bidi w:val="0"/>
        <w:spacing w:before="0" w:after="150"/>
        <w:jc w:val="left"/>
        <w:rPr>
          <w:color w:val="000000"/>
        </w:rPr>
      </w:pPr>
      <w:r>
        <w:rPr>
          <w:color w:val="000000"/>
        </w:rPr>
        <w:t>•</w:t>
      </w:r>
    </w:p>
    <w:p>
      <w:pPr>
        <w:pStyle w:val="TextBody"/>
        <w:bidi w:val="0"/>
        <w:spacing w:before="0" w:after="150"/>
        <w:jc w:val="left"/>
        <w:rPr/>
      </w:pPr>
      <w:r>
        <w:rPr>
          <w:rFonts w:ascii="Times New Roman" w:hAnsi="Times New Roman"/>
          <w:i/>
          <w:color w:val="000000"/>
          <w:sz w:val="20"/>
        </w:rPr>
        <w:t>In vitro</w:t>
      </w:r>
      <w:r>
        <w:rPr>
          <w:color w:val="000000"/>
        </w:rPr>
        <w:t xml:space="preserve"> </w:t>
      </w:r>
      <w:r>
        <w:rPr>
          <w:rFonts w:ascii="Times New Roman" w:hAnsi="Times New Roman"/>
          <w:color w:val="000000"/>
          <w:sz w:val="20"/>
        </w:rPr>
        <w:t>studies in primary human hepatocytes demonstrated dose-dependent RNA editing.</w:t>
      </w:r>
    </w:p>
    <w:p>
      <w:pPr>
        <w:pStyle w:val="TextBody"/>
        <w:bidi w:val="0"/>
        <w:spacing w:before="0" w:after="150"/>
        <w:jc w:val="left"/>
        <w:rPr>
          <w:color w:val="000000"/>
        </w:rPr>
      </w:pPr>
      <w:r>
        <w:rPr>
          <w:color w:val="000000"/>
        </w:rPr>
        <w:t>•</w:t>
      </w:r>
    </w:p>
    <w:p>
      <w:pPr>
        <w:pStyle w:val="TextBody"/>
        <w:bidi w:val="0"/>
        <w:spacing w:before="0" w:after="150"/>
        <w:jc w:val="left"/>
        <w:rPr/>
      </w:pPr>
      <w:r>
        <w:rPr>
          <w:rFonts w:ascii="Times New Roman" w:hAnsi="Times New Roman"/>
          <w:i/>
          <w:color w:val="000000"/>
          <w:sz w:val="20"/>
        </w:rPr>
        <w:t>In vitro</w:t>
      </w:r>
      <w:r>
        <w:rPr>
          <w:color w:val="000000"/>
        </w:rPr>
        <w:t xml:space="preserve"> </w:t>
      </w:r>
      <w:r>
        <w:rPr>
          <w:rFonts w:ascii="Times New Roman" w:hAnsi="Times New Roman"/>
          <w:color w:val="000000"/>
          <w:sz w:val="20"/>
        </w:rPr>
        <w:t>studies in human induced pluripotent stem cell-derived hepatocytes bearing either the OTC-D175V or the ASS1D309 mutation demonstrated the ability to maintain stable levels of GS under conditions of ammonia overload in two subtypes of UCD.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50"/>
        <w:jc w:val="center"/>
        <w:rPr/>
      </w:pPr>
      <w:r>
        <w:rPr/>
        <w:drawing>
          <wp:inline distT="0" distB="0" distL="0" distR="0">
            <wp:extent cx="5229225" cy="2857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229225" cy="2857500"/>
                    </a:xfrm>
                    <a:prstGeom prst="rect">
                      <a:avLst/>
                    </a:prstGeom>
                  </pic:spPr>
                </pic:pic>
              </a:graphicData>
            </a:graphic>
          </wp:inline>
        </w:drawing>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Figure 11. OTC D175V human iPSC-derived hepatocytes differentiated for 14 days, then treated with oligonucleotide.</w:t>
      </w:r>
    </w:p>
    <w:p>
      <w:pPr>
        <w:pStyle w:val="TextBody"/>
        <w:bidi w:val="0"/>
        <w:spacing w:before="0" w:after="150"/>
        <w:jc w:val="left"/>
        <w:rPr>
          <w:color w:val="000000"/>
        </w:rPr>
      </w:pPr>
      <w:r>
        <w:rPr>
          <w:color w:val="000000"/>
        </w:rPr>
        <w:t>•</w:t>
      </w:r>
    </w:p>
    <w:p>
      <w:pPr>
        <w:pStyle w:val="TextBody"/>
        <w:bidi w:val="0"/>
        <w:spacing w:before="0" w:after="150"/>
        <w:jc w:val="left"/>
        <w:rPr/>
      </w:pPr>
      <w:r>
        <w:rPr>
          <w:rFonts w:ascii="Times New Roman" w:hAnsi="Times New Roman"/>
          <w:i/>
          <w:color w:val="000000"/>
          <w:sz w:val="20"/>
        </w:rPr>
        <w:t>In vivo</w:t>
      </w:r>
      <w:r>
        <w:rPr>
          <w:color w:val="000000"/>
        </w:rPr>
        <w:t xml:space="preserve"> </w:t>
      </w:r>
      <w:r>
        <w:rPr>
          <w:rFonts w:ascii="Times New Roman" w:hAnsi="Times New Roman"/>
          <w:color w:val="000000"/>
          <w:sz w:val="20"/>
        </w:rPr>
        <w:t>activity was demonstrated in OTC mice (OTCspf/ash), with &gt;50% improved ammonia clearance.</w:t>
      </w:r>
    </w:p>
    <w:p>
      <w:pPr>
        <w:pStyle w:val="TextBody"/>
        <w:bidi w:val="0"/>
        <w:spacing w:before="0" w:after="150"/>
        <w:jc w:val="center"/>
        <w:rPr/>
      </w:pPr>
      <w:r>
        <w:rPr/>
        <w:drawing>
          <wp:inline distT="0" distB="0" distL="0" distR="0">
            <wp:extent cx="5400675" cy="22574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00675" cy="2257425"/>
                    </a:xfrm>
                    <a:prstGeom prst="rect">
                      <a:avLst/>
                    </a:prstGeom>
                  </pic:spPr>
                </pic:pic>
              </a:graphicData>
            </a:graphic>
          </wp:inline>
        </w:drawing>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Figure 12. Ammonia Reduction in OTC-Deficient Mice</w:t>
      </w:r>
    </w:p>
    <w:p>
      <w:pPr>
        <w:pStyle w:val="TextBody"/>
        <w:bidi w:val="0"/>
        <w:spacing w:before="0" w:after="150"/>
        <w:jc w:val="left"/>
        <w:rPr>
          <w:color w:val="000000"/>
        </w:rPr>
      </w:pPr>
      <w:r>
        <w:rPr>
          <w:color w:val="000000"/>
        </w:rPr>
        <w:t>•</w:t>
      </w:r>
    </w:p>
    <w:p>
      <w:pPr>
        <w:pStyle w:val="TextBody"/>
        <w:bidi w:val="0"/>
        <w:spacing w:before="0" w:after="150"/>
        <w:jc w:val="left"/>
        <w:rPr/>
      </w:pPr>
      <w:r>
        <w:rPr>
          <w:rFonts w:ascii="Times New Roman" w:hAnsi="Times New Roman"/>
          <w:i/>
          <w:color w:val="000000"/>
          <w:sz w:val="20"/>
        </w:rPr>
        <w:t>In vivo</w:t>
      </w:r>
      <w:r>
        <w:rPr>
          <w:color w:val="000000"/>
        </w:rPr>
        <w:t xml:space="preserve"> </w:t>
      </w:r>
      <w:r>
        <w:rPr>
          <w:rFonts w:ascii="Times New Roman" w:hAnsi="Times New Roman"/>
          <w:color w:val="000000"/>
          <w:sz w:val="20"/>
        </w:rPr>
        <w:t>activity in a humanized mouse model (PXB) demonstrated approximately 20% editing at the mRNA level, leading to improved ammonia clearance during hyperammonemia challenge, resulting in approximately 20</w:t>
      </w:r>
      <w:r>
        <w:rPr>
          <w:rFonts w:ascii="Times New Roman" w:hAnsi="Times New Roman"/>
          <w:color w:val="000000"/>
          <w:sz w:val="19"/>
        </w:rPr>
        <w:t xml:space="preserve">% of the stabilized protein post ammonia challenge without any significant degradation in the total protein. </w:t>
      </w:r>
      <w:r>
        <w:rPr>
          <w:rFonts w:ascii="Times New Roman" w:hAnsi="Times New Roman"/>
          <w:color w:val="000000"/>
          <w:sz w:val="20"/>
        </w:rPr>
        <w:t>KRRO-121 significantly reduced ammonia levels in both basal state and following ammonia challenge, while maintaining steady glutamine levels post-challenge.</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Favorable tolerability profiles were observed in exploratory toxicology studies conducted in mice and NHPs. In NHPs, KRRO-121 displayed &gt;90% delivery to liver, confirmed liver localization with pericentral GS, and no observed changes in liver or kidney function, coagulation, complement, platelets, or cytokines.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While we believe we can demonstrate many of the key advantages of RNA editing, we are early in our development efforts and not yet certain of the results we may achieve. Such uncertainties include, but are not limited to, the level of editing efficiency needed in a target tissue type to achieve a clinical benefit, and associated safety of our edits in humans.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KRRO-121 Next Steps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a regulatory filing for KRRO-121 to enable commencement of a first-in-human clinical trial in the second half of 2026. Good laboratory practice, or GLP, -compliant toxicology studies in mouse and monkey are planned to support the proposed first-in-human study. KRRO-121 is being developed for the treatment of UCDs in adults and adolescents, with potential expansion into HE. However, KRRO-121 is in preclinical development and there is no guarantee that it will be successful.</w:t>
      </w:r>
    </w:p>
    <w:p>
      <w:pPr>
        <w:pStyle w:val="TextBody"/>
        <w:bidi w:val="0"/>
        <w:spacing w:before="360" w:after="283"/>
        <w:jc w:val="left"/>
        <w:rPr>
          <w:rFonts w:ascii="Times New Roman" w:hAnsi="Times New Roman"/>
          <w:sz w:val="20"/>
        </w:rPr>
      </w:pPr>
      <w:r>
        <w:rPr>
          <w:rFonts w:ascii="Times New Roman" w:hAnsi="Times New Roman"/>
          <w:b/>
          <w:color w:val="000000"/>
          <w:sz w:val="20"/>
        </w:rPr>
        <w:t>Our AATD Program: RNA Editing to Repair Pathogenic Missense Variant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a next-generation GalNAc-conjugated RNA editing oligonucleotide for the potential treatment of AATD that has the potential to be disease-modifying and provide a differentiated therapeutic option. AATD is an inherited genetic disorder that can cause severe progressive lung and liver disease due to a lack of normal AAT, with varying intensity based on patient genotype and environmental factors. Patients often develop chronic obstructive pulmonary disorder, or COPD, in the lungs and cirrhosis of the liver, which can result in liver failure or death.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an estimated 5.5 million individuals with deficiency allele combinations worldwide. There is a single approved modality, a once-a-week infusion of pooled human plasma derived AAT, that does not adequately address the lung or liver manifestations of AATD. Within the United States alone, the opportunity to improve the existing standard of care and expand the treated population represents a large market opportunity.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AATD lead candidates are proprietary RNA editing oligonucleotides conjugated with GalNAc and administered subcutaneously with delivery to liver hepatocytes, where they co-opt endogenous ADAR to edit a nucleoside in the SERPINA1 transcript and restore production of normal AAT. The GalNAc conjugate approach enables convenient subcutaneous administration with targeted, liver-specific delivery to hepatocytes. GalNAc-conjugated delivery is a well-established and clinically validated approach that has been used in multiple FDA-approved products, including GIVLAARI and OXLUMO, providing a precedented delivery technology with an established safety and efficacy profile. By repairing the protein, we aim to bring individuals with the Z mutation to a phenotype where over 90% of RNA has been corrected to produce normal AAT, preserving lung and liver function and preventing further damage.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inherent benefits of ADAR-based RNA editing described earlier, we believe our approach has additional potential advantages, including convenient subcutaneous delivery: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Provides a disease modifying therapy for both lung and liver manifestations by transiently editing over 90% of RNA transcripts in hepatocytes to restore normal AAT protein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Provides a treatment option that can be tailored to address the broad spectrum of severity within the AATD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to enable physiologic regulation of AAT using endogenous ADAR, thereby increasing normal AAT production during inflammation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Convenient subcutaneous dosing using precedented GalNAc-conjugated delivery with liver-targeted specificity</w:t>
      </w:r>
    </w:p>
    <w:p>
      <w:pPr>
        <w:pStyle w:val="TextBody"/>
        <w:bidi w:val="0"/>
        <w:spacing w:before="0" w:after="20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We have generated compelling preclinical data demonstrating proof of concept across multiple RNA editing oligonucleotides targeting the SERPINA1 gene. We have achieved greater than 90% editing of the SERPINA1 transcript using GalNAc delivery </w:t>
      </w:r>
      <w:r>
        <w:rPr>
          <w:rFonts w:ascii="Times New Roman" w:hAnsi="Times New Roman"/>
          <w:i/>
          <w:color w:val="000000"/>
          <w:sz w:val="20"/>
        </w:rPr>
        <w:t>in vivo</w:t>
      </w:r>
      <w:r>
        <w:rPr>
          <w:rFonts w:ascii="Times New Roman" w:hAnsi="Times New Roman"/>
          <w:color w:val="000000"/>
          <w:sz w:val="20"/>
        </w:rPr>
        <w:t>, with results demonstrated in both NSG-PiZ and C57BL/6-PiZ mouse models. We first pursued a development candidate, KRRO-110, for the treatment of AATD, which used an LNP delivery modality. However, following initial results from our REWRITE trial announced in November 2025, we pivoted to a GalNAC delivery modality. See “—Termination of REWRITE Clinical Program” below.</w:t>
      </w:r>
    </w:p>
    <w:p>
      <w:pPr>
        <w:pStyle w:val="TextBody"/>
        <w:bidi w:val="0"/>
        <w:spacing w:before="160" w:after="283"/>
        <w:jc w:val="left"/>
        <w:rPr>
          <w:rFonts w:ascii="Times New Roman" w:hAnsi="Times New Roman"/>
          <w:sz w:val="20"/>
        </w:rPr>
      </w:pPr>
      <w:r>
        <w:rPr>
          <w:rFonts w:ascii="Times New Roman" w:hAnsi="Times New Roman"/>
          <w:b/>
          <w:i/>
          <w:color w:val="000000"/>
          <w:sz w:val="20"/>
        </w:rPr>
        <w:t>AATD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AAT function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AAT is a protease inhibitor belonging to the Serpin family. It is produced in the liver and circulates in its native state in human blood at approximately 1.5 g/L, one of the highest concentrations observed for protease inhibitors. The main role of AAT is to protect tissue from proteases released by neutrophils, such as neutrophil elastase. Neutrophil elastase is an enzyme that fights infections in the lungs but can also attack normal lung tissue. If not sufficiently inhibited by AAT, neutrophil elastase destroys elastin in the lung, leading to degradation of lung function. Factors that increase lung inflammation, such as smoking or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infections, increase the elastase burden in the lung, leading to severe and potentially life-threatening lung damage in AATD patients. </w:t>
      </w:r>
    </w:p>
    <w:p>
      <w:pPr>
        <w:pStyle w:val="TextBody"/>
        <w:bidi w:val="0"/>
        <w:spacing w:before="120" w:after="283"/>
        <w:jc w:val="left"/>
        <w:rPr>
          <w:rFonts w:ascii="Times New Roman" w:hAnsi="Times New Roman"/>
          <w:sz w:val="20"/>
        </w:rPr>
      </w:pPr>
      <w:r>
        <w:rPr>
          <w:rFonts w:ascii="Times New Roman" w:hAnsi="Times New Roman"/>
          <w:i/>
          <w:color w:val="000000"/>
          <w:sz w:val="20"/>
        </w:rPr>
        <w:t>Genotypes of AATD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AATD is an inherited, autosomal recessive genetic disorder that is most frequently caused by a single nucleotide variant, or SNV, mutation in the SERPINA1 gene. The most common of these SNVs is the “Z” mutation, corresponding to a mutation of glutamate 342 to lysine, or E342K. A healthy individual typically exhibits an “MM” genotype, or PiMM, while an individual with a single Z allele would exhibit a heterozygous, or PiMZ genotype, and an individual with two Z alleles would exhibit a homozygous, or PiZZ, genotype. </w:t>
      </w:r>
    </w:p>
    <w:p>
      <w:pPr>
        <w:pStyle w:val="TextBody"/>
        <w:bidi w:val="0"/>
        <w:spacing w:before="120" w:after="283"/>
        <w:jc w:val="center"/>
        <w:rPr/>
      </w:pPr>
      <w:r>
        <w:rPr/>
        <w:drawing>
          <wp:inline distT="0" distB="0" distL="0" distR="0">
            <wp:extent cx="5353050" cy="1143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353050" cy="114300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000000"/>
          <w:sz w:val="20"/>
        </w:rPr>
        <w:t>Figure 13. PiMM genotype (normal liver and lung)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Impact of Z mutations on liver and lung function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presence of a single Z allele can lead to insufficient production of normal AAT, as well as the production of dysfunctional AAT, causing manifestations of disease in both the lungs and liver. The severity of disease manifestation can vary according to each patient’s genotype, as well as environmental factors, such as exposure to inflammatory respiratory agents or other complications.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PiZZ individuals experience greater manifestations of disease as a result of their very low levels of normal AAT (10% - 15% of normal levels), which are insufficient to prevent lung damage after an influx of neutrophils. They are also at high risk of developing emphysema or COPD, which can present in individuals as early as in their thirties and forties. PiZZ individuals with additional environmental risk factors such as smoking or infection frequently develop COPD as early adults and develop very severe symptoms.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lung disease, PiZZ individuals can also manifest with liver disease as a result of dysfunctional AAT aggregating in the liver. In adults, this can cause liver inflammation and cirrhosis, ultimately leading to liver failure or cancer. In addition, as many as 10% of newborns with the PiZZ genotype develop cholestatic hepatitis. A quarter of impacted neonates suffer acute liver failure and require an emergency transplant. </w:t>
      </w:r>
    </w:p>
    <w:p>
      <w:pPr>
        <w:pStyle w:val="TextBody"/>
        <w:bidi w:val="0"/>
        <w:spacing w:before="120" w:after="283"/>
        <w:jc w:val="center"/>
        <w:rPr/>
      </w:pPr>
      <w:r>
        <w:rPr/>
        <w:drawing>
          <wp:inline distT="0" distB="0" distL="0" distR="0">
            <wp:extent cx="5353050" cy="1600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353050" cy="160020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000000"/>
          <w:sz w:val="20"/>
        </w:rPr>
        <w:t>Figure 14. PiZZ genotype that results in fibrotic liver and decreased lung function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from the UK Biobank, or UKBB, as well as published literature, have allowed researchers to determine the threshold levels of circulating AAT that are directly linked to the PiMZ and PiZZ genotypes. In Figure 15 below, the range of AAT levels associated with normal individuals (PiMM) is compared with the range of AAT levels observed in mutated PiMZ and PiZZ patients.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2990850" cy="2495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90850" cy="249555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000000"/>
          <w:sz w:val="20"/>
        </w:rPr>
        <w:t>Figure 15. Median Levels of AAT and link to outcomes in liver and lung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Figure 16 below, the Odds Ratios, or OR, associated with developing COPD and cirrhosis of the liver are compared across the two genotypes, with key findings summarized below: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COPD:</w:t>
      </w:r>
      <w:r>
        <w:rPr>
          <w:color w:val="000000"/>
        </w:rPr>
        <w:t xml:space="preserve"> </w:t>
      </w:r>
      <w:r>
        <w:rPr>
          <w:rFonts w:ascii="Times New Roman" w:hAnsi="Times New Roman"/>
          <w:color w:val="000000"/>
          <w:sz w:val="20"/>
        </w:rPr>
        <w:t xml:space="preserve">PiMZ individuals have minimal increased risk of developing COPD relative to healthy PiMM individuals, while PiZZ individuals are at very high risk with an OR of 8.8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Cirrhosis of the liver:</w:t>
      </w:r>
      <w:r>
        <w:rPr>
          <w:color w:val="000000"/>
        </w:rPr>
        <w:t xml:space="preserve"> </w:t>
      </w:r>
      <w:r>
        <w:rPr>
          <w:rFonts w:ascii="Times New Roman" w:hAnsi="Times New Roman"/>
          <w:color w:val="000000"/>
          <w:sz w:val="20"/>
        </w:rPr>
        <w:t xml:space="preserve">PiMZ individuals have mildly elevated risk of developing cirrhosis of the liver with an OR of 1.5, while PiZZ individuals have significantly elevated risk with an OR of 7.8 </w:t>
      </w:r>
    </w:p>
    <w:p>
      <w:pPr>
        <w:pStyle w:val="TextBody"/>
        <w:bidi w:val="0"/>
        <w:spacing w:before="120" w:after="283"/>
        <w:jc w:val="center"/>
        <w:rPr/>
      </w:pPr>
      <w:r>
        <w:rPr/>
        <w:drawing>
          <wp:inline distT="0" distB="0" distL="0" distR="0">
            <wp:extent cx="4095750" cy="1809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095750" cy="180975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000000"/>
          <w:sz w:val="20"/>
        </w:rPr>
        <w:t>Figure 16. Risk of developing COPD and cirrhosis for different genotypes associated with AATD. Adapted from “The undiagnosed disease burden associated with alpha-1 antitrypsin deficiency genotypes.” By Nakanishi T, Forgetta V, Handa T, et al. Eur Respir J 2020; 56:2001441</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these findings, we believe that achieving normal AAT protein levels between the ranges of the PiMZ and PiMM genotypes has the potential to alleviate the increased risk of COPD and cirrhosis of the liver, and to meaningfully improve clinical outcomes for PiZZ patients. We further believe that by achieving greater than 90% editing efficiency across cells, we can reach these target levels and modify disease progression. </w:t>
      </w:r>
    </w:p>
    <w:p>
      <w:pPr>
        <w:pStyle w:val="TextBody"/>
        <w:bidi w:val="0"/>
        <w:spacing w:before="120" w:after="283"/>
        <w:jc w:val="left"/>
        <w:rPr>
          <w:rFonts w:ascii="Times New Roman" w:hAnsi="Times New Roman"/>
          <w:sz w:val="20"/>
        </w:rPr>
      </w:pPr>
      <w:r>
        <w:rPr>
          <w:rFonts w:ascii="Times New Roman" w:hAnsi="Times New Roman"/>
          <w:i/>
          <w:color w:val="000000"/>
          <w:sz w:val="20"/>
        </w:rPr>
        <w:t>Prevalence of AATD and limitations of currently approved therapy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AATD is one of the three most common, potentially lethal, rare diseases affecting those of European descent. Worldwide, there are an estimated 5.5 million individuals with deficiency allele combinations. Studies suggest that clinical unawareness of AATD results in a significant number of patients that go undiagnosed or misdiagnosed. There are currently an estimated 100,000 patients in the United States with a PiZZ genotype, and 125,000 patients across the United Kingdom, Germany, France, Spain and Italy. Studies of PiMZ prevalence suggest as many as one in 49 individuals in the United States and one in 58 individuals across Europe.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only FDA-approved treatment for patients with lung manifestations of AATD (co-indicated with COPD) is augmentation therapy, which utilizes AAT protein purified from pooled human plasma. The purified AAT is administered weekly by intravenous infusion with the goal of maintaining a serum level of AAT above the 11 µM threshold. Even when the serum level can be maintained at or above this threshold, augmentation therapy has not clearly demonstrated its ability to adequately address lung damage nor liver inflammation caused by AAT aggregation. Augmentation therapy is approved in only a few countries due to its limited efficacy. Lung and/or liver transplantation are the only other available treatment options, outside of standard management of the disease manifestations of AATD.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being minimally effective and not fully addressing the needs of many AATD patients, augmentation therapy currently represents approximately $1.4 billion in annual sales worldwide. </w:t>
      </w:r>
    </w:p>
    <w:p>
      <w:pPr>
        <w:pStyle w:val="TextBody"/>
        <w:bidi w:val="0"/>
        <w:spacing w:before="360" w:after="283"/>
        <w:jc w:val="left"/>
        <w:rPr>
          <w:rFonts w:ascii="Times New Roman" w:hAnsi="Times New Roman"/>
          <w:sz w:val="20"/>
        </w:rPr>
      </w:pPr>
      <w:r>
        <w:rPr>
          <w:rFonts w:ascii="Times New Roman" w:hAnsi="Times New Roman"/>
          <w:b/>
          <w:i/>
          <w:color w:val="000000"/>
          <w:sz w:val="20"/>
        </w:rPr>
        <w:t>Alternative Treatments in Development for AATD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therapies in development to treat AATD. Certain DNA editing approaches attempt to add a normal copy of SERPINA1 gene or permanently correct the mutation within the SERPINA1 gene. DNA editing as a treatment would likely be evaluated on a risk-benefit trade-off relative to the severity of the manifestation of AATD, limiting the applicability of DNA editing approaches to the broader AATD patient population.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approaches outside of DNA editing are also in development. There are approaches which attempt to use siRNA to knock-out the production of dysfunctional AAT protein, which only alleviates the liver manifestation of AATD, while potentially worsening the lung manifestation. Replacing plasma derived protein for augmentation therapy with a fusion protein is another approach in development. This fusion protein aims to introduce AAT on an antibody scaffold to improve upon the existing dosing paradigm and activity levels achieved in augmentation therapy. Fusion proteins do not resolve the liver manifestation and are unable to physiologically regulate AAT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many of these approaches have inherent limitations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adequately address the spectrum of clinical pathologies associated with AATD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achieve adequate expression of normal AAT to bring patients back to PiMM genotype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Considerable safety and tolerability concerns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issues around manufacturability and scalability for the AATD population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Approach to Overcome the Limitations: Transiently Correcting the SERPINA1 Variant on RNA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a GalNAc-conjugated RNA editing oligonucleotide to treat patients with AATD. Our lead candidates are designed to leverage endogenous ADAR to make a single base edit in SERPINA1 mRNA, correcting the amino acid codon created by the pathogenic E342K SNV which stems from a single G-to-A mutation. Specifically, our oligonucleotide edits the adenosine (A) to an inosine (I), thereby correcting the faulty amino acid and leading to the production of normal AAT protein.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 is to bring individuals with the Z mutation to a phenotype where over 90% of RNA has been corrected to produce normal AAT protein. This would result in levels of AAT consistent with individuals in the upper half of the PiMZ genotype and the fully healthy PiMM genotype. Through our GalNAc-conjugated approach in human transgenic mouse models, we have shown our ability to drive the required change in RNA sequence with high efficiency, leading to secretion of AAT at target levels.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approach has multiple potential advantages, in addition to those conferred by the RNA editing modality: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Provides a tailored disease modifying treatment option to address the heterogeneity of the AATD population: </w:t>
      </w:r>
      <w:r>
        <w:rPr>
          <w:rFonts w:ascii="Times New Roman" w:hAnsi="Times New Roman"/>
          <w:color w:val="000000"/>
          <w:sz w:val="20"/>
        </w:rPr>
        <w:t xml:space="preserve">We leverage a transient base editing approach leading to restoration of normal AAT. The transient nature of our approach allows us to address a broader AATD patient population, inclusive of PiMZ and PiZZ genotypes. As transient editing is not permanent in nature, we have the ability to adjust dosing and even cease dosing as needed, providing a meaningful benefit in potential safety profile.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Provides a disease modifying therapy for both lung and liver manifestations: </w:t>
      </w:r>
      <w:r>
        <w:rPr>
          <w:rFonts w:ascii="Times New Roman" w:hAnsi="Times New Roman"/>
          <w:color w:val="000000"/>
          <w:sz w:val="20"/>
        </w:rPr>
        <w:t xml:space="preserve">By transiently editing over 90% of RNA transcripts in hepatocytes, we believe we can restore levels of normal AAT protein consistent with a PiMZ to PiMM phenotype. These levels of normal AAT have the potential to prevent further lung damage and reduce the risk of dysfunctional AAT aggregating in the liver.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Potential to enable physiologic regulation of AAT using endogenous ADAR: </w:t>
      </w:r>
      <w:r>
        <w:rPr>
          <w:rFonts w:ascii="Times New Roman" w:hAnsi="Times New Roman"/>
          <w:color w:val="000000"/>
          <w:sz w:val="20"/>
        </w:rPr>
        <w:t xml:space="preserve">Augmentation therapy and other treatments targeting static thresholds for AAT expression do not address the underlying mechanism of AAT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regulation, which is endogenously regulated by inflammation and can sometimes lead to as much as 90uM of AAT in humans. During an inflammatory response, there is a simultaneous increase in ADAR levels. Our ADAR-based therapy has the potential to restore natural physiologic regulation by increasing the prevalence of editing during periods of greater AAT production.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Liver-targeted delivery using precedented GalNAc-conjugated technology:</w:t>
      </w:r>
      <w:r>
        <w:rPr>
          <w:color w:val="000000"/>
        </w:rPr>
        <w:t xml:space="preserve"> </w:t>
      </w:r>
      <w:r>
        <w:rPr>
          <w:rFonts w:ascii="Times New Roman" w:hAnsi="Times New Roman"/>
          <w:color w:val="000000"/>
          <w:sz w:val="20"/>
        </w:rPr>
        <w:t>GalNAc conjugates provide highly specific delivery to hepatocytes with proven clinical track record. This delivery approach enables convenient subcutaneous administration, improving patient experience compared to intravenous infusion.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Next-Generation GalNAc-Conjugated AATD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a next-generation GalNAc-conjugated RNA editing oligonucleotide for AATD with development candidate nomination anticipated in the second quarter of 2026. Our preclinical studies have demonstrated compelling proof of concept for the GalNAc-conjugated approach.</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generated highly compelling preclinical data that forms the basis for our proof of mechanism. We have affirmed that multiple disease modifying early generation lead candidates have demonstrated proof-of-concept in </w:t>
      </w:r>
      <w:r>
        <w:rPr>
          <w:rFonts w:ascii="Times New Roman" w:hAnsi="Times New Roman"/>
          <w:i/>
          <w:color w:val="000000"/>
          <w:sz w:val="20"/>
        </w:rPr>
        <w:t>in vivo</w:t>
      </w:r>
      <w:r>
        <w:rPr>
          <w:rFonts w:ascii="Times New Roman" w:hAnsi="Times New Roman"/>
          <w:color w:val="000000"/>
          <w:sz w:val="20"/>
        </w:rPr>
        <w:t xml:space="preserve"> studies leading to the anticipated selection of our next-generation GalNAc-conjugated development candidate for AATD. To assess and differentiate our GalNAc-conjugated lead candidates in mouse models used widely in the AATD field, we used the NSG-PiZ and C57BL/6-PiZ transgenic mouse models. These mice express the human SERPINA1 gene with the Z-mutation. Subcutaneous administration of GalNAc-conjugated RNA editing oligonucleotides resulted in &gt;90% editing of SERPINA1 transcript in the NSG-PiZ mouse model following dosing at 10 mg/kg every other day for a total of three doses, with results observed one week (seven days) post first dose. This demonstrates the high efficiency and consistency of the GalNAc-conjugated approach across two independent AATD mouse models.</w:t>
      </w:r>
    </w:p>
    <w:p>
      <w:pPr>
        <w:pStyle w:val="TextBody"/>
        <w:bidi w:val="0"/>
        <w:spacing w:before="120" w:after="283"/>
        <w:jc w:val="center"/>
        <w:rPr/>
      </w:pPr>
      <w:r>
        <w:rPr/>
        <w:drawing>
          <wp:inline distT="0" distB="0" distL="0" distR="0">
            <wp:extent cx="5410200" cy="4143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410200" cy="4143375"/>
                    </a:xfrm>
                    <a:prstGeom prst="rect">
                      <a:avLst/>
                    </a:prstGeom>
                  </pic:spPr>
                </pic:pic>
              </a:graphicData>
            </a:graphic>
          </wp:inline>
        </w:drawing>
      </w:r>
    </w:p>
    <w:p>
      <w:pPr>
        <w:pStyle w:val="TextBody"/>
        <w:bidi w:val="0"/>
        <w:spacing w:before="120" w:after="283"/>
        <w:jc w:val="center"/>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17. AATD GalNAC RNA editing in C57BL/6-PiZ and NSG-PiZ mouse models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Termination of REWRITE Clinical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our first-generation AATD program, KRRO-110, our proprietary RNA editing oligonucleotide with an LNP delivery system, did not reach projected levels of functional protein following a single administration. We pivoted to GalNAc delivery for AATD and have terminated our REWRITE clinical program investigating KRRO-110 as a treatment for AATD.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AATD GalNAc Program Next Steps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nominate a development candidate for our AATD GalNAc program in the second quarter of 2026. We are continuing to design and screen additional oligonucleotides to optimize editing efficiency and drug-like properties for GalNAc-conjugated subcutaneous delivery. However, this program is in preclinical development and there is no guarantee that it will be successful.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Longevity and Liver Health Program: AMPKγ1 Activation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longevity space has attracted approximately $8 billion in biotech investment. We've seen combinations of GLP-1 agonists, SGLT2 inhibitors, and PCSK9 inhibitors contributing to meaningful increases in lifespan. Rising U.S. health spending on chronic conditions underscores both the challenge and the opportunity. Top aging experts are pointing to four FDA-approved drugs that hold promise for extending life including GLP-1 agonists. Rather than treating late-stage disease, we are focused on extending organ healthspan and going after three fundamental reasons as to why organs age: metabolic dysfunction, oxidative stress, and inflammation accumulation.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activated, AMPK inhibits anabolic pathways like lipogenesis and protein synthesis, activates catabolic pathways including fatty acid oxidation and autophagy, and regulates glucose homeostasis by enhancing insulin sensitivity. The γ1 subunit—AMPKγ1—represents the optimal liver therapeutic target because of its hepatocyte enrichment. AMPK activation provides direct metabolic reprogramming—increasing fatty acid oxidation, decreasing lipogenesis, boosting mitochondrial biogenesis, and increasing glucose uptake in an insulin-independent manner, all with minimal central appetite effects. It is hepatocyte-restricted rather than systemically exposed. GLP-1 agonism, by contrast, works primarily through appetite suppression—central satiety signaling, delayed gastric emptying, increased insulin secretion, and decreased glucagon release. These are complementary mechanisms.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proprietary oligonucleotides designed to activate AMPKγ1, with the goal of restoring metabolic status and improving liver function. We enable the activation by creating a single amino acid change on the native AMPK protein, specifically in the liver, such that it stays in a hyper-phosphorylated state, creating an allosteric modulator. This program utilizes GalNAc-conjugated delivery for subcutaneous administration targeting the liver, thus avoiding activating AMPK in the rest of the body. Prior programs have not moved forward due to the systemic exposure, and the lack of specificity of the AMPK isoform.</w:t>
      </w:r>
    </w:p>
    <w:p>
      <w:pPr>
        <w:pStyle w:val="TextBody"/>
        <w:bidi w:val="0"/>
        <w:spacing w:before="120" w:after="283"/>
        <w:jc w:val="center"/>
        <w:rPr/>
      </w:pPr>
      <w:r>
        <w:rPr/>
        <w:drawing>
          <wp:inline distT="0" distB="0" distL="0" distR="0">
            <wp:extent cx="5181600" cy="24098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181600" cy="24098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early preclinical development for this program. We have demonstrated oligonucleotide-mediated editing in mouse hepatocytes with 60% at 100 nM and 40% at 10 nM editing resulting in two-fold increases in phospho-ACC to total ACC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ratio in vivo in wild type mice, demonstrating in vivo functional downstream signaling. We are promoting allosteric activation of the γ1 subunit to enable sustained activation, what we believe is needed for durable therapeutic benefit.</w:t>
      </w:r>
    </w:p>
    <w:p>
      <w:pPr>
        <w:pStyle w:val="TextBody"/>
        <w:bidi w:val="0"/>
        <w:spacing w:before="120" w:after="283"/>
        <w:jc w:val="left"/>
        <w:rPr/>
      </w:pPr>
      <w:r>
        <w:rPr/>
        <w:t> </w:t>
      </w:r>
    </w:p>
    <w:p>
      <w:pPr>
        <w:pStyle w:val="TextBody"/>
        <w:bidi w:val="0"/>
        <w:spacing w:before="0" w:after="200"/>
        <w:jc w:val="center"/>
        <w:rPr/>
      </w:pPr>
      <w:r>
        <w:rPr/>
        <w:drawing>
          <wp:inline distT="0" distB="0" distL="0" distR="0">
            <wp:extent cx="6057900" cy="2000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057900" cy="2000250"/>
                    </a:xfrm>
                    <a:prstGeom prst="rect">
                      <a:avLst/>
                    </a:prstGeom>
                  </pic:spPr>
                </pic:pic>
              </a:graphicData>
            </a:graphic>
          </wp:inline>
        </w:drawing>
      </w:r>
    </w:p>
    <w:p>
      <w:pPr>
        <w:pStyle w:val="TextBody"/>
        <w:bidi w:val="0"/>
        <w:jc w:val="left"/>
        <w:rPr>
          <w:rFonts w:ascii="Times New Roman" w:hAnsi="Times New Roman"/>
          <w:i/>
          <w:color w:val="000000"/>
          <w:sz w:val="20"/>
        </w:rPr>
      </w:pPr>
      <w:r>
        <w:rPr>
          <w:rFonts w:ascii="Times New Roman" w:hAnsi="Times New Roman"/>
          <w:i/>
          <w:color w:val="000000"/>
          <w:sz w:val="20"/>
        </w:rPr>
        <w:t>Figure 18. Hepatic AMPKγ1 activation improved liver function in obese mice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GalNAc-conjugated oligonucleotides enable liver-specific targeting. In diet-induced obesity mice, we dosed once daily for five days at 10 mg/kg. We achieved 23.9% editing in liver with ALT dropping from 230 to 122 U/L (back toward the lean mouse range of 60) and AST improving from 208 to 108 (approaching the lean mouse level of 100). Liver function was improved and metabolic signaling restored without affecting food intake. The body weight curves were essentially identical, and food consumption was unchanged, highlighting a direct metabolic reprogramming, not appetite suppression. Our GalNAc-conjugated oligonucleotide is fundamentally different from GLP-1s, which we believe potentially makes it an ideal combination partner.</w:t>
      </w:r>
    </w:p>
    <w:p>
      <w:pPr>
        <w:pStyle w:val="TextBody"/>
        <w:bidi w:val="0"/>
        <w:spacing w:before="120" w:after="283"/>
        <w:jc w:val="left"/>
        <w:rPr>
          <w:rFonts w:ascii="Times New Roman" w:hAnsi="Times New Roman"/>
          <w:sz w:val="20"/>
        </w:rPr>
      </w:pPr>
      <w:r>
        <w:rPr>
          <w:rFonts w:ascii="Times New Roman" w:hAnsi="Times New Roman"/>
          <w:i/>
          <w:color w:val="000000"/>
          <w:sz w:val="20"/>
        </w:rPr>
        <w:t>Next Steps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continuing to design and screen additional oligonucleotides to identify proprietary oligonucleotides for further evaluation. Furthermore, we are identifying and characterizing metabolic dysfunction-associated steatohepatitis, or MASH, and liver fibrosis models and patient cell lines, to test the efficacy of </w:t>
      </w:r>
      <w:r>
        <w:rPr>
          <w:rFonts w:ascii="Times New Roman" w:hAnsi="Times New Roman"/>
          <w:i/>
          <w:color w:val="000000"/>
          <w:sz w:val="20"/>
        </w:rPr>
        <w:t>de novo</w:t>
      </w:r>
      <w:r>
        <w:rPr>
          <w:rFonts w:ascii="Times New Roman" w:hAnsi="Times New Roman"/>
          <w:color w:val="000000"/>
          <w:sz w:val="20"/>
        </w:rPr>
        <w:t xml:space="preserve"> AMPK </w:t>
      </w:r>
      <w:r>
        <w:rPr>
          <w:rFonts w:ascii="Times New Roman" w:hAnsi="Times New Roman"/>
          <w:color w:val="000000"/>
          <w:sz w:val="19"/>
        </w:rPr>
        <w:t>γ1</w:t>
      </w:r>
      <w:r>
        <w:rPr>
          <w:rFonts w:ascii="Times New Roman" w:hAnsi="Times New Roman"/>
          <w:color w:val="000000"/>
          <w:sz w:val="20"/>
        </w:rPr>
        <w:t xml:space="preserve"> protein in disease models. We anticipate progressing this program towards achieving a development candidate. </w:t>
      </w:r>
    </w:p>
    <w:p>
      <w:pPr>
        <w:pStyle w:val="TextBody"/>
        <w:bidi w:val="0"/>
        <w:spacing w:before="360" w:after="283"/>
        <w:jc w:val="left"/>
        <w:rPr>
          <w:rFonts w:ascii="Times New Roman" w:hAnsi="Times New Roman"/>
          <w:sz w:val="20"/>
        </w:rPr>
      </w:pPr>
      <w:r>
        <w:rPr>
          <w:rFonts w:ascii="Times New Roman" w:hAnsi="Times New Roman"/>
          <w:b/>
          <w:color w:val="000000"/>
          <w:sz w:val="20"/>
        </w:rPr>
        <w:t>Our Amyotrophic Lateral Sclerosis Program: Disrupting Protein Aggregation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proprietary oligonucleotides targeting the mRNA for TAR DNA binding protein 43, or TDP-43, a protein associated with the etiology of ALS. </w:t>
      </w:r>
    </w:p>
    <w:p>
      <w:pPr>
        <w:pStyle w:val="TextBody"/>
        <w:bidi w:val="0"/>
        <w:spacing w:before="120" w:after="283"/>
        <w:jc w:val="left"/>
        <w:rPr>
          <w:rFonts w:ascii="Times New Roman" w:hAnsi="Times New Roman"/>
          <w:sz w:val="20"/>
        </w:rPr>
      </w:pPr>
      <w:r>
        <w:rPr>
          <w:rFonts w:ascii="Times New Roman" w:hAnsi="Times New Roman"/>
          <w:i/>
          <w:color w:val="000000"/>
          <w:sz w:val="20"/>
        </w:rPr>
        <w:t>Amyotrophic Lateral Sclerosis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 is an adult-onset, progressive, and fatal neurodegenerative disorder that causes muscle weakness, paralysis, and ultimately death. The majority of ALS patients die from respiratory failure within three to five years after symptom appearance, with a small percentage of patients surviving beyond 10 years. Despite being classified as a rare disease by the FDA and the European Medicines Agency, or EMA, ALS is considered one of the more common neurodegenerative diseases worldwide. Prevalence estimates vary, but it is widely accepted that there are approximately 30,000 ALS patients in the United States. There is currently no cure for ALS, and currently approved therapies either only provide symptomatic relief or slow the overall progression of the disease. </w:t>
      </w:r>
    </w:p>
    <w:p>
      <w:pPr>
        <w:pStyle w:val="TextBody"/>
        <w:bidi w:val="0"/>
        <w:spacing w:before="120" w:after="283"/>
        <w:jc w:val="left"/>
        <w:rPr>
          <w:rFonts w:ascii="Times New Roman" w:hAnsi="Times New Roman"/>
          <w:sz w:val="20"/>
        </w:rPr>
      </w:pPr>
      <w:r>
        <w:rPr>
          <w:rFonts w:ascii="Times New Roman" w:hAnsi="Times New Roman"/>
          <w:i/>
          <w:color w:val="000000"/>
          <w:sz w:val="20"/>
        </w:rPr>
        <w:t>Our Differentiated Approach and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approach is to selectively modulate TDP-43, an RNA/DNA-binding protein, which carries out a variety of important functions in healthy neurons, including initiation of transcription, pre-mRNA splicing and miRNA processing. Hyper-phosphorylated and ubiquitinated TDP-43 deposits form inclusion bodies in the brain and spinal cord of patients with ALS and frontotemporal dementia, or FTD. The majority of ALS and FTD cases are sporadic, and more than 90% and 45% of ALS and FTD patients, respectively, have TDP-43 aggregations in neurons. Less than 10% of ALS cases are familial, and mutations in </w:t>
      </w:r>
      <w:r>
        <w:rPr>
          <w:rFonts w:ascii="Times New Roman" w:hAnsi="Times New Roman"/>
          <w:i/>
          <w:color w:val="000000"/>
          <w:sz w:val="20"/>
        </w:rPr>
        <w:t>TARDBP</w:t>
      </w:r>
      <w:r>
        <w:rPr>
          <w:rFonts w:ascii="Times New Roman" w:hAnsi="Times New Roman"/>
          <w:color w:val="000000"/>
          <w:sz w:val="20"/>
        </w:rPr>
        <w:t xml:space="preserve">, the gene encoding TDP-43, are responsible for approximately 4% of familial ALS. Given the importance of the role of TDP-43 in maintaining healthy neurons, the generation of a protein variant with the desired non-aggregating property could potentially have therapeutic benefit for the majority of ALS and FTD patients. We believe that by leveraging the ability of RNA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editing to affect a single base edit in </w:t>
      </w:r>
      <w:r>
        <w:rPr>
          <w:rFonts w:ascii="Times New Roman" w:hAnsi="Times New Roman"/>
          <w:i/>
          <w:color w:val="000000"/>
          <w:sz w:val="20"/>
        </w:rPr>
        <w:t>TARDBP</w:t>
      </w:r>
      <w:r>
        <w:rPr>
          <w:rFonts w:ascii="Times New Roman" w:hAnsi="Times New Roman"/>
          <w:color w:val="000000"/>
          <w:sz w:val="20"/>
        </w:rPr>
        <w:t xml:space="preserve">, we can lead to the synthesis of a TDP-43 protein variant that does not aggregate, thereby restoring normal function. </w:t>
      </w:r>
    </w:p>
    <w:p>
      <w:pPr>
        <w:pStyle w:val="TextBody"/>
        <w:bidi w:val="0"/>
        <w:spacing w:before="120" w:after="283"/>
        <w:jc w:val="center"/>
        <w:rPr/>
      </w:pPr>
      <w:r>
        <w:rPr/>
        <w:drawing>
          <wp:inline distT="0" distB="0" distL="0" distR="0">
            <wp:extent cx="3552825" cy="33528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552825" cy="3352800"/>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19. Continued splicing of factors downstream of TDP-43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created a series of TDP-43 variants that contain single amino acid changes designed to alter post-translational modification by phosphorylation, ubiquitination, acetylation or cleavage with the intent of reducing the ability to aggregate while maintaining function in RNA metabolism. We believe that modulating TDP-43 through the introduction of specific amino acid changes into TDP-43 mRNA sequence is preferable to other approaches that try to address protein aggregates after they form, to non-specifically prevent stress granule formation, or to target a single TDP-43 downstream target. In preclinical studies, our TDP-43 variant demonstrated reduced mis-splicing of critical genes (maintaining STMN2 and POLDIP3 expression) and decreased cytosolic mis-localization of TDP-43 protein in iPSC-derived motor neurons under cell stress conditions. These results support the potential of our approach to reduce pathogenic aggregation of TDP-43 while preserving its normal cellular functions. </w:t>
      </w:r>
    </w:p>
    <w:p>
      <w:pPr>
        <w:pStyle w:val="TextBody"/>
        <w:bidi w:val="0"/>
        <w:spacing w:before="120" w:after="283"/>
        <w:jc w:val="center"/>
        <w:rPr/>
      </w:pPr>
      <w:r>
        <w:rPr/>
        <w:drawing>
          <wp:inline distT="0" distB="0" distL="0" distR="0">
            <wp:extent cx="3838575" cy="25812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838575" cy="258127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i/>
          <w:color w:val="000000"/>
          <w:sz w:val="20"/>
        </w:rPr>
        <w:t>Figure 20. Re-localization of the TDP43 protein inside the nucleus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Next Steps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continuing to design and screen additional oligonucleotides to identify proprietary oligonucleotides for further evaluation. Furthermore, we are identifying and characterizing ALS cell lines including genetic-induced models and patient cell lines, to test the efficacy of TDP-43 protein variants in disease models.</w:t>
      </w:r>
    </w:p>
    <w:p>
      <w:pPr>
        <w:pStyle w:val="TextBody"/>
        <w:bidi w:val="0"/>
        <w:spacing w:before="360" w:after="283"/>
        <w:jc w:val="left"/>
        <w:rPr>
          <w:rFonts w:ascii="Times New Roman" w:hAnsi="Times New Roman"/>
          <w:sz w:val="20"/>
        </w:rPr>
      </w:pPr>
      <w:r>
        <w:rPr>
          <w:rFonts w:ascii="Times New Roman" w:hAnsi="Times New Roman"/>
          <w:b/>
          <w:color w:val="000000"/>
          <w:sz w:val="20"/>
        </w:rPr>
        <w:t>Pioneering RNA Editing to Deliver the Future of Medicine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programs demonstrate the versatility of the ADAR-mediated RNA editing approach. Importantly, we are able to not only address classes of diseases caused by deleterious effects of misfolded or misdirected proteins, but we can also potentially utilize genetics to identify highly prevalent diseases where therapeutic benefit can be generated through alteration of protein function or expression. We will continue to selectively identify and pursue additional targets and indications based on a range of technical, clinical, and commercial factors to build a robust and differentiated pipeline. However, RNA editing is a novel technology that is not yet clinically validated for human therapeutic use. The approaches we take to discover and develop novel therapeutics are unproven and may never lead to marketable products. While limited clinical data for RNA editing therapies has been generated to date, we are not aware of any clinical trials for safety or efficacy having been completed by any third party using RNA editing and nor are we aware of any RNA editing therapeutic product that has been approved in the United States or Europe. It will be many years before we commercialize an approved product, if ever.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versatility of our OPERA platform has the potential to create transformative genetic medicines for both rare and highly prevalent diseases. To fully realize this potential, we have established and plan to continue to actively seek out innovative collaborations, licenses, and strategic alliances with clinical leaders, academic medical centers of excellence, patient advocacy groups, and pioneering companies. Given the versatility and broad potential of our OPERA platform across therapeutic areas, especially in diseases with high prevalence, we may enter into additional strategic partnerships with external parties that have complementary capabilities to broaden and accelerate access to our RNA editing therapies.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Novo Nordisk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we entered into a research collaboration and license agreement with Novo Nordisk, pursuant to which we granted Novo Nordisk an exclusive worldwide license under certain intellectual property rights to research, develop, manufacture, commercialize or otherwise exploit certain licensed compounds and licensed products for an initial target in the cardiometabolic field and for a second target (to be nominated by Novo Nordisk within a specified time period as set forth in the agreement). Under the agreement, we are responsible for certain research and development activities with respect to licensed compounds and licensed products directed against the initial target and the second target (if nominated by Novo Nordisk), and we are eligible to receive cost reimbursement from Novo Nordisk for our performance of such research and development activities under the agreement with respect to such target(s). Novo Nordisk may undertake subsequent worldwide development, manufacturing, marketing and commercialization of the licensed products directed against the initial target and the second target (if applicable). In November 2025, the collaboration entered a 12-month pause. For additional information relating to the financial terms of such agreement, see Note 12 to our audited consolidated financial statements included elsewhere in this Annual Report on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Manufacturing and Supply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commercial manufacturing capabilities. For our initial wave of clinical programs, we intend to use qualified third-party CMOs with relevant manufacturing experience in genetic medicines. We plan to partner with suppliers and CMOs to produce or process critical raw materials, bulk compounds, formulated compounds, viral vectors or engineered cells for investigational new drug, or IND, -supporting activities and early-stage clinical trials. At the appropriate time in the product development process, we will determine whether to establish in-house good manufacturing practice capabilities for some core technologies or continue to rely on third parties to manufacture commercial quantities for any products that we may successfully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in-license technology for our fit-for-purpose delivery systems, including LNP delivery systems. For example, in March 2023, we entered into a collaboration and license agreement with Genevant, a well established leader in the LNP space, to provide access to clinically validated LNP technology to optimize delivery of our now terminated REWRITE clinical program investigating KRRO-110 as a treatment for AATD. For additional information relating to the financial terms of such agreement, see Note 12 to our audited consolidated financial statements included elsewhere in this Annual Report on Form 10-K.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including the gene therapy and gene editing fields,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There are several companies using synthetic oligonucleotide or base editing technology, including AIRNA, Beam Therapeutics, Prime Medicine, ProQR, Tessera Therapeutics, Verve Therapeutics, Wave Life Sciences, and YolTech Therapeutics. Several additional companies utilize other editing technologies, including Edigene and Shape Therapeutics. In addition, we face competition from companies utilizing gene therapy, oligonucleotides, and DNA editing technologies such as base and prime editing.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candidates that we successfully develop and commercialize will compete with existing therapies and new therapies that may become available in the future that are approved to treat the same diseases for which we may obtain approval for our development candidates. This may include other types of therapies, such as small molecule, antibody, and/or protein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many of our current or potential competitors, either alone or with their collaboration partners, have significantly greater financial resources and expertise in research and development, manufacturing, preclinical testing, conducting clinical trials and approved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contract manufacturing organizations,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protect the proprietary technology that we believe is important to our business, including seeking and maintaining patent protection in the United States and internationally for our current and future lead candidates and development candidates. We also rely on trademarks, copyrights, trade secrets, confidentiality procedures, employee disclosure, invention assignment agreements, know-how, continuing technological innovation and in-licensing opportunities to develop and maintain our proprietary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continue to expand our intellectual property estate by filing patent applications directed to platform technologies and pipeline programs, including composition of matter, pharmaceutical compositions, methods of treatment, and methods of manufacture. Our success will depend on our ability to obtain and maintain patent and other proprietary protection for commercially important technologies, inventions and know-how related to our business, defend and enforce any patents that we may obtain, preserve the confidentiality of our trade secrets and operate without infringing the valid and enforceable patents and proprietary rights of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positions of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lead candidates and development candidates, or whether the claims of any issued patents will provide sufficient protection from competitors or otherwise provide any competitive advantage. We cannot predict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lead candidates and development candidates. </w:t>
      </w:r>
    </w:p>
    <w:p>
      <w:pPr>
        <w:pStyle w:val="TextBody"/>
        <w:bidi w:val="0"/>
        <w:spacing w:before="120" w:after="283"/>
        <w:jc w:val="left"/>
        <w:rPr>
          <w:rFonts w:ascii="Times New Roman" w:hAnsi="Times New Roman"/>
          <w:sz w:val="20"/>
        </w:rPr>
      </w:pPr>
      <w:r>
        <w:rPr>
          <w:rFonts w:ascii="Times New Roman" w:hAnsi="Times New Roman"/>
          <w:color w:val="000000"/>
          <w:sz w:val="20"/>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derivation proceedings declared by the U.S. Patent and Trademark Office, or USPTO, to determine priority of invention. Further, periodic maintenance fees, renewal fees, annuity fees and various other government fees on patents and/or applications will be due to be paid to the USPTO and various government patent agencies outside of the United States over the lifetime of our patents and patent applications. For more information regarding the risks related to our intellectual property, see Item 1A “</w:t>
      </w:r>
      <w:r>
        <w:rPr>
          <w:rFonts w:ascii="Times New Roman" w:hAnsi="Times New Roman"/>
          <w:i/>
          <w:color w:val="000000"/>
          <w:sz w:val="20"/>
        </w:rPr>
        <w:t>Risk Factors—Risks Related to Our Business—Risks Related to Intellectual Property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Portfolio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protect our proprietary RNA editing platform, OPERA, and related technologies, and our lead candidates and development candidates, including seeking and maintaining patent protection intended to cover various target-specific editing strategies, the composition of matter of our lead candidate and development candidates, their methods of use, related delivery technologies, and other inventions. The intellectual property that is available to us is critical to our business, and we strive to protect it, including by obtaining, maintaining, defending, and enforcing patent protection in the United States and internationally. As of December 31, 2025, our patent portfolio in total consisted of 42 patent families, with six U.S. patents and five patents in foreign jurisdictions (e.g., Australia, Japan and Taiwan), including pending U.S. provisional patent applications, pending Patent Cooperation Treaty, or PCT, applications, and various pending non-provisional applications world-wide (e.g., United States, Australia, Canada, China, Europe, South Korea, and Japan).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portfolio relates to our RNA editing platform OPERA, as well as numerous disease programs listed below. Patents and pending applications in the portfolio are directed to various oligonucleotide formats, nucleotide compositions, oligonucleotide chemistries, modifications, specific linkage chemistries, oligonucleotides having a specific structures, methods of deaminating an adenosine using such oligonucleotides, methods of oligonucleotide delivery, and methods of treating disease by administering such oligonucleotides.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three patent families with pending applications directed to specific oligonucleotide structures useful in ADAR editing oligonucleotides. Each of these three families have pending applications in Australia, Canada, China, Europe, Japan, South Korea and the United States. Absent any term extensions available via patent term extension or patent term adjustment, patents in these families will expire in 2040. These patent families include three granted U.S. patents: U.S. Patent No. 11,479,575 directed to specific oligonucleotide structures and expires in 2040; U.S. Patent No. 11,453,878 directed to methods of deamination of an adenosine in an mRNA using oligonucleotide with specific structures and also expires in 2040; and U.S. Patent No. 12,031,131 directed to specific oligonucleotide structures and expires in 2040.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patent families described above, we also have other patent families directed to additional target-specific editing strategies, oligonucleotide compositions and their methods of use, related delivery technologies, and other inventions related to early-stage research and development efforts not reflected in our pipeline. Patents issued from or issuing from applications in these families will expire between 2041 and 2046, absent any available additional term for patent term extension or patent term adjustment.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platform and non-target specific patent families, we also have patent families pending that are directed to specific target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 portfolio that relates to our hyperammonia program includes two patent families directed to specific target sites and oligonucleotides that edit the target. The first patent family consists of PCT patent and issued patents in this family would expire in 2045, absent any available additional term for patent term extension or patent term adjustment. The second patent family is directed to oligonucleotides that direct editing of the target. This second patent family consists of two provisional patent applications, and if re-filed as PCT or non-provisional applications, and issued, patents in this family would expire in 2046.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portfolio that relates to our AATD program includes one patent family with a pending U.S. provisional patent application. This patent family has been filed as a provisional patent application and if refiled as PCT or non-provisional applications, and issued, patents in this family would expire in 2046, absent any available additional term for patent term extension or patent term adjustment.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portfolio that relates to our longevity and liver health program includes two patent families. The first patent family is directed to specific target sites. This first patent family consists of one PCT patent application, and issued patents in this family would expire in 2046, absent any available additional term for patent term extension or patent term adjustment. The second patent family is directed to oligonucleotides that direct editing of AMPKγ1. This second patent family consists of one provisional patent application, and if re-filed as PCT or non-provisional applications, and issued, patents in this family would expire in 2046.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patent portfolio that relates to our ALS program includes two patent families directed to specific target sites and oligonucleotides that direct edit TDP-43. The first patent family consists of one PCT issued patents in this family would expire in 2045, absent any available additional term for patent term extension or patent term adjustment. The second patent family is directed to oligonucleotides that direct editing of TDP-43. This second patent family consists of one provisional patent application, and if re-filed as PCT or non-provisional applications, and issued, patents in this family would expire in </w:t>
      </w:r>
      <w:r>
        <w:rPr>
          <w:rFonts w:ascii="Times New Roman" w:hAnsi="Times New Roman"/>
          <w:color w:val="000000"/>
          <w:sz w:val="20"/>
          <w:u w:val="single"/>
        </w:rPr>
        <w:t>2046</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individual patents depends upon the legal term of the patents in the countries in which they are obtained. In most countries in which we file, including the United States,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complies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become subject to administrative or judicial sanctions or other legal consequences. These sanctions or consequences could include, among other things, the FDA’s refusal to approve pending FDA applications, issuance of clinical holds for ongoing studies, suspension or revocation of approved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14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w:t>
      </w:r>
    </w:p>
    <w:p>
      <w:pPr>
        <w:pStyle w:val="TextBody"/>
        <w:bidi w:val="0"/>
        <w:spacing w:before="120" w:after="283"/>
        <w:jc w:val="left"/>
        <w:rPr>
          <w:rFonts w:ascii="Times New Roman" w:hAnsi="Times New Roman"/>
          <w:sz w:val="20"/>
        </w:rPr>
      </w:pPr>
      <w:r>
        <w:rPr>
          <w:rFonts w:ascii="Times New Roman" w:hAnsi="Times New Roman"/>
          <w:color w:val="000000"/>
          <w:sz w:val="20"/>
        </w:rPr>
        <w:t>In the future, if and when our development candidates receive FDA approval, we expect to apply, if appropriate, for patent term extension on patents directed to those development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Item 1A “</w:t>
      </w:r>
      <w:r>
        <w:rPr>
          <w:rFonts w:ascii="Times New Roman" w:hAnsi="Times New Roman"/>
          <w:i/>
          <w:color w:val="000000"/>
          <w:sz w:val="20"/>
        </w:rPr>
        <w:t>Risk Factors—Risks Related to Our Business—Risks Related to Intellectual Property</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Reservation of Rights by the U.S. Government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in-licensed patent rights may be subject to a reservation of rights by one or more third parties, including the U.S. government. Pursuant to the Bayh-Dole Act of 1980, the U.S. government has certain rights in inventions developed with government funding. These U.S. government rights include a non-exclusive, non-transferable, irrevocable worldwide license to use inventions for any governmental purpose.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“march-in rights”). While the U.S. government has not successfully exercised its march-in rights to date, recent developments in regulatory pharmaceutical product pricing schemes indicate that these march-in rights could be exercised to affect pricing. </w:t>
      </w:r>
    </w:p>
    <w:p>
      <w:pPr>
        <w:pStyle w:val="TextBody"/>
        <w:bidi w:val="0"/>
        <w:spacing w:before="120" w:after="283"/>
        <w:jc w:val="left"/>
        <w:rPr>
          <w:rFonts w:ascii="Times New Roman" w:hAnsi="Times New Roman"/>
          <w:sz w:val="20"/>
        </w:rPr>
      </w:pPr>
      <w:r>
        <w:rPr>
          <w:rFonts w:ascii="Times New Roman" w:hAnsi="Times New Roman"/>
          <w:color w:val="000000"/>
          <w:sz w:val="20"/>
        </w:rPr>
        <w:t>If the U.S. government exercised its march-in rights in our future intellectual property rights that are generated through the use of U.S. government funding or grants, we could be forced to license or sublicense intellectual property that we license on terms unfavorable to us, and there can be no assurance that we would receive compensation from the U.S. government for the exercise of such rights. If the U.S. government decides to exercise these march-in rights, it is not required to engage us as its contractor in connection with doing so. The U.S. government’s rights may also permit it to disclose the funded inventions and technology, which may include our confidential information, to third parties and to exercise march-in rights to use or allow third parties to use the technology that was developed using U.S. government funding.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For more information regarding the risks related to our intellectual property, see Item 1A “</w:t>
      </w:r>
      <w:r>
        <w:rPr>
          <w:rFonts w:ascii="Times New Roman" w:hAnsi="Times New Roman"/>
          <w:i/>
          <w:color w:val="000000"/>
          <w:sz w:val="20"/>
        </w:rPr>
        <w:t>Risk Factors—Risks Related to Our Business—Risks Related to Intellectual Property</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 </w:t>
      </w:r>
    </w:p>
    <w:p>
      <w:pPr>
        <w:pStyle w:val="TextBody"/>
        <w:bidi w:val="0"/>
        <w:spacing w:before="120" w:after="283"/>
        <w:jc w:val="left"/>
        <w:rPr>
          <w:rFonts w:ascii="Times New Roman" w:hAnsi="Times New Roman"/>
          <w:sz w:val="20"/>
        </w:rPr>
      </w:pPr>
      <w:r>
        <w:rPr>
          <w:rFonts w:ascii="Times New Roman" w:hAnsi="Times New Roman"/>
          <w:color w:val="000000"/>
          <w:sz w:val="20"/>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Item 1A “</w:t>
      </w:r>
      <w:r>
        <w:rPr>
          <w:rFonts w:ascii="Times New Roman" w:hAnsi="Times New Roman"/>
          <w:i/>
          <w:color w:val="000000"/>
          <w:sz w:val="20"/>
        </w:rPr>
        <w:t>Risk Factors—Risks Related to Our Business—Risks Related to Intellectual Property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Governmental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other regulatory authorities at federal, state and local levels, as well as in foreign countries, extensively regulate, among other things, the research, development, clinical trial, testing, manufacture, quality control, import, export, safety, efficacy, labeling, packaging, storage, distribution, recordkeeping, approval, distribution, advertising, promotion, marketing, post-approval monitoring and post-approval reporting of drugs. We, along with our vendors, contract research organizations, or CROs, clinical investigators and CMOs will be required to navigate the various preclinical, clinical, manufacturing and commercial approval requirements of the governing regulatory agencies of the countries in which we wish to conduct studies or seek approval of our development candidates. The process of obtaining regulatory approvals of drugs and ensuring subsequent compliance with appropriate federal, state, local and foreign statutes and regulations requires the expenditure of substantial time and financial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Overview of U.S. Drugs Development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FDA regulates drug products under the Federal Food, Drug and Cosmetic Act, or FD&amp;C Act, and its implementing regulations. Drugs are also subject to other federal, state and local statutes and regulations.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judicial sanctions or other legal consequences. These sanctions or consequences could include, among other things, the FDA’s refusal to approve pending applications, warning or untitled letters, product withdrawals or recalls, product seizures, relabeling or repackaging, total or partial suspensions of manufacturing or distribution, injunctions, fines, civil penalties or 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must be approved for therapeutic indications by the FDA before they may be marketed in the United States. For drug development candidates regulated under the FD&amp;C Act, FDA must approve a New Drug Application, or an NDA. The process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extensive preclinical studies in accordance with applicable regulations, including studies conducted in accordance with GLP requirements and applicable requirements for the humane use of laboratory animals or other applicable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the manufacture, under current good manufacturing practice, or cGMP, conditions, of the drug substance and drug product that the sponsor intends to use in human clinical trials along with required analytical and stability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which must become effective before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 of user fees for FDA review of the NDA;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institutional review board, or IRB, or independent ethics committee at each clinical trial site before each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preparation and submission to the FDA of an NDA;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determination by the FDA within 60 days of its receipt of an NDA to file the application for review;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one or more FDA pre-approval inspections of the manufacturing facility or facilities where the drug will be produced to assess compliance with cGMP requirements to assure that the facilities, methods and controls are adequate to preserve the drug product’s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potential FDA audit of the preclinical study clinical trial sites that generated the data in support of the NDA;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review and approval of the NDA, including, where applicable, consideration of the views of any FDA advisory committee, prior to any commercial marketing or sale of the drug in the United States. </w:t>
      </w:r>
    </w:p>
    <w:p>
      <w:pPr>
        <w:pStyle w:val="TextBody"/>
        <w:bidi w:val="0"/>
        <w:spacing w:before="360" w:after="283"/>
        <w:jc w:val="left"/>
        <w:rPr>
          <w:rFonts w:ascii="Times New Roman" w:hAnsi="Times New Roman"/>
          <w:sz w:val="20"/>
        </w:rPr>
      </w:pPr>
      <w:r>
        <w:rPr>
          <w:rFonts w:ascii="Times New Roman" w:hAnsi="Times New Roman"/>
          <w:b/>
          <w:i/>
          <w:color w:val="000000"/>
          <w:sz w:val="20"/>
        </w:rPr>
        <w:t>Preclinical Studies and Clinical Trials for Drugs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Before testing any drug in humans, the development candidate must undergo rigorous preclinical testing. Preclinical studies include laboratory evaluations of product chemistry, formulation and stability, as well as </w:t>
      </w:r>
      <w:r>
        <w:rPr>
          <w:rFonts w:ascii="Times New Roman" w:hAnsi="Times New Roman"/>
          <w:i/>
          <w:color w:val="000000"/>
          <w:sz w:val="20"/>
        </w:rPr>
        <w:t>in vitro</w:t>
      </w:r>
      <w:r>
        <w:rPr>
          <w:rFonts w:ascii="Times New Roman" w:hAnsi="Times New Roman"/>
          <w:color w:val="000000"/>
          <w:sz w:val="20"/>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trials. The IND also includes the results of animal and </w:t>
      </w:r>
      <w:r>
        <w:rPr>
          <w:rFonts w:ascii="Times New Roman" w:hAnsi="Times New Roman"/>
          <w:i/>
          <w:color w:val="000000"/>
          <w:sz w:val="20"/>
        </w:rPr>
        <w:t>in vitro</w:t>
      </w:r>
      <w:r>
        <w:rPr>
          <w:rFonts w:ascii="Times New Roman" w:hAnsi="Times New Roman"/>
          <w:color w:val="000000"/>
          <w:sz w:val="20"/>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stage of development involves the administration of the development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to evaluate therapeutic indications to support NDAs for marketing approval are typically conducted in three sequential phases, which may overlap.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Phase 1</w:t>
      </w:r>
      <w:r>
        <w:rPr>
          <w:color w:val="000000"/>
        </w:rPr>
        <w:t xml:space="preserve"> – </w:t>
      </w:r>
      <w:r>
        <w:rPr>
          <w:rFonts w:ascii="Times New Roman" w:hAnsi="Times New Roman"/>
          <w:color w:val="000000"/>
          <w:sz w:val="20"/>
        </w:rPr>
        <w:t xml:space="preserve">Phase 1 clinical trials involve initial introduction of the investigational product in a limited population of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Phase 2</w:t>
      </w:r>
      <w:r>
        <w:rPr>
          <w:color w:val="000000"/>
        </w:rPr>
        <w:t xml:space="preserve"> – </w:t>
      </w:r>
      <w:r>
        <w:rPr>
          <w:rFonts w:ascii="Times New Roman" w:hAnsi="Times New Roman"/>
          <w:color w:val="000000"/>
          <w:sz w:val="20"/>
        </w:rPr>
        <w:t xml:space="preserve">Phase 2 clinical trials typically involve administration of the investigational product to a limited patient population with a specified disease or condition to evaluate the drug’s potential efficacy, to determine the optimal dosages and dosing schedule and to identify possible adverse side effects and safety risks.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Phase 3</w:t>
      </w:r>
      <w:r>
        <w:rPr>
          <w:color w:val="000000"/>
        </w:rPr>
        <w:t xml:space="preserve"> – </w:t>
      </w:r>
      <w:r>
        <w:rPr>
          <w:rFonts w:ascii="Times New Roman" w:hAnsi="Times New Roman"/>
          <w:color w:val="000000"/>
          <w:sz w:val="20"/>
        </w:rPr>
        <w:t xml:space="preserve">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hAnsi="Times New Roman"/>
          <w:i/>
          <w:color w:val="000000"/>
          <w:sz w:val="20"/>
        </w:rPr>
        <w:t>in vitro</w:t>
      </w:r>
      <w:r>
        <w:rPr>
          <w:rFonts w:ascii="Times New Roman" w:hAnsi="Times New Roman"/>
          <w:color w:val="000000"/>
          <w:sz w:val="20"/>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product, sponsors have the opportunity to meet with the FDA at certain points, including prior to submission of an IND, at the end of Phase 2 and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submission of an NDA. These meetings can provide an opportunity for the sponsor to share information about the data gathered to date and for the FDA to provide advice on the next phase of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also develop additional information about the chemistry and physical characteristics of the development candidate and finalize a process for manufacturing the drug product in commercial quantities in accordance with cGMP requirements. The manufacturing process must be capable of consistently producing quality batches of the development candidate and manufacturers must develop, among other things, methods for testing the identity, strength, quality and purity of the final drug product. Additionally, appropriate packaging must be selected and tested, and stability studies must be conducted to demonstrate that the development candidate does not undergo unacceptable deterioration over its shelf life. </w:t>
      </w:r>
    </w:p>
    <w:p>
      <w:pPr>
        <w:pStyle w:val="TextBody"/>
        <w:bidi w:val="0"/>
        <w:spacing w:before="360" w:after="283"/>
        <w:jc w:val="left"/>
        <w:rPr>
          <w:rFonts w:ascii="Times New Roman" w:hAnsi="Times New Roman"/>
          <w:sz w:val="20"/>
        </w:rPr>
      </w:pPr>
      <w:r>
        <w:rPr>
          <w:rFonts w:ascii="Times New Roman" w:hAnsi="Times New Roman"/>
          <w:b/>
          <w:i/>
          <w:color w:val="000000"/>
          <w:sz w:val="20"/>
        </w:rPr>
        <w:t>U.S. Review and Approval Process for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FDA must approve an NDA before a drug may be marketed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also may require submission of a risk evaluation and mitigation strategy, or REMS, if it believes that a REMS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application is not ready for approval. A Complete Response Letter generally contains a statement of specific conditions that must be met in order to secure final approval of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 </w:t>
      </w:r>
    </w:p>
    <w:p>
      <w:pPr>
        <w:pStyle w:val="TextBody"/>
        <w:bidi w:val="0"/>
        <w:spacing w:before="360" w:after="283"/>
        <w:jc w:val="left"/>
        <w:rPr>
          <w:rFonts w:ascii="Times New Roman" w:hAnsi="Times New Roman"/>
          <w:sz w:val="20"/>
        </w:rPr>
      </w:pPr>
      <w:r>
        <w:rPr>
          <w:rFonts w:ascii="Times New Roman" w:hAnsi="Times New Roman"/>
          <w:b/>
          <w:i/>
          <w:color w:val="000000"/>
          <w:sz w:val="20"/>
        </w:rPr>
        <w:t>Orphan Drug Designation and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grant orphan drug designation to a drug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approved use or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approved use or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further reevaluate its regulations and policies under the Orphan Drug Act. It is unclear as to how, if at all, the FDA may change the orphan drug regulations and policies in the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Expedited Development and Review Programs for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drug is eligible for Fast Track designation if it is intended to treat a serious or life-threatening disease or condition and demonstrates the potential to address unmet medical needs for such disease or condition. Fast track designation applies to the combination of the development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in a diligent manner, adequate and well-controlled additional post-approval confirmatory studies to verify and describe the product’s clinical benefit, and under the Food and Drug Omnibus Reform Act of 2022, or FDORA, the FDA may require, as appropriate, that such trials be underway prior to approval or within a specific time period after the date of approval for a product granted accelerated approval. Further,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 </w:t>
      </w:r>
    </w:p>
    <w:p>
      <w:pPr>
        <w:pStyle w:val="TextBody"/>
        <w:bidi w:val="0"/>
        <w:spacing w:before="360" w:after="283"/>
        <w:jc w:val="left"/>
        <w:rPr>
          <w:rFonts w:ascii="Times New Roman" w:hAnsi="Times New Roman"/>
          <w:sz w:val="20"/>
        </w:rPr>
      </w:pPr>
      <w:r>
        <w:rPr>
          <w:rFonts w:ascii="Times New Roman" w:hAnsi="Times New Roman"/>
          <w:b/>
          <w:i/>
          <w:color w:val="000000"/>
          <w:sz w:val="20"/>
        </w:rPr>
        <w:t>U.S. Post-Approval Requirements for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must be submitted to the FDA in conjunction with their first use or first publication. Further, if there are any modifications to the drug,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including changes in indications, labeling or manufacturing processes or facilities, the applicant may be required to submit and obtain FDA approval of a new NDA or NDA supplement, which may require the development of additional data or preclinical studies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safety alerts, Dear Healthcare Provider letters, press releases or other communications containing warnings or other safety information about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applications or supplements to approved applications, or suspension or revocation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consent decrees, corporate integrity agreements, debarment or exclusion from federal healthcare programs;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mandated modification of promotional materials and labeling and issuance of corrective information. </w:t>
      </w:r>
    </w:p>
    <w:p>
      <w:pPr>
        <w:pStyle w:val="TextBody"/>
        <w:bidi w:val="0"/>
        <w:spacing w:before="360" w:after="283"/>
        <w:jc w:val="left"/>
        <w:rPr>
          <w:rFonts w:ascii="Times New Roman" w:hAnsi="Times New Roman"/>
          <w:sz w:val="20"/>
        </w:rPr>
      </w:pPr>
      <w:r>
        <w:rPr>
          <w:rFonts w:ascii="Times New Roman" w:hAnsi="Times New Roman"/>
          <w:b/>
          <w:i/>
          <w:color w:val="000000"/>
          <w:sz w:val="20"/>
        </w:rPr>
        <w:t>U.S. Patent Term Restoration and Marketing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approval of our future development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Marketing exclusivity provisions under the FD&amp;C Act also can delay the submission or the approval of certain drug product applications. The FD&amp;C Act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FD&amp;C Act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360" w:after="283"/>
        <w:jc w:val="left"/>
        <w:rPr>
          <w:rFonts w:ascii="Times New Roman" w:hAnsi="Times New Roman"/>
          <w:sz w:val="20"/>
        </w:rPr>
      </w:pPr>
      <w:r>
        <w:rPr>
          <w:rFonts w:ascii="Times New Roman" w:hAnsi="Times New Roman"/>
          <w:b/>
          <w:i/>
          <w:color w:val="000000"/>
          <w:sz w:val="20"/>
        </w:rPr>
        <w:t>Privacy and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entail the collection, use, disclosure, transfer, and processing of sensitive and personal information. These operations subject us to privacy and data security laws and regulations in the United States, Europe and internationally. Our operations extend to commercial partnerships and third-party processors, each of which may be governed by their distinct privacy regulations and data security laws. These laws are constantly evolving and subject to varying interpretations, requiring us to periodically update our policies and measures to maintain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Europe, we are subject to the European data protection laws where we collect and use personal information relating to Europe in certain circumstances, including to conduct and enroll subjects in clinical trials in the United Kingdom, or the UK, European Union, or the EU, or the European Economic Area, or the EEA. This includes the EU General Data Protection Regulation, or EU GDPR, the UK General Data Protection Regulation, or UK GDPR, as well as applicable data protection laws in effect in the Member States of the EEA and in the UK (including the UK Data Protection Act 2018) that govern the processing of personal information (known as “personal data” under the GDPR) in connection with the offering goods or services to individuals in the EEA and UK; monitoring the behavior of individuals in the EEA and UK; or the activities of an establishment in the EEA and UK. The UK’s data protection regime is independent from but aligned to the EU’s data protection regime. In this Annual Report on Form 10-K, “GDPR” refers to both the EU GDPR and the UK GDPR, unless specified otherwise. The GDPR is wide-ranging in scope and imposes numerous obligations on companies that process personal information, including (i) stringent requirements on the processing of health and other sensitive data, (ii) providing information to individuals regarding data processing activities; (iii) ensuring a legal basis or condition applies to the processing of personal data and, where applicable, obtaining consent from individuals to whom the data processing relates; (iv) responding to data subject requests; (v) imposing requirements to notify the competent national data protection authorities and data subjects of personal data breaches; (vi) implementing safeguards in connection with the security and confidentiality of the personal data; (vii) accountability requirements; and (viii) taking certain measures when engaging third-party processors. The GDPR’s definition of personal data includes coded data, and it requires changes to informed consent practices and detailed notices for clinical trial subjects and investigators. The GDPR also imposes strict rules on the transfer of personal data to countries outside of the EEA and the UK that do not ensure an adequate level of protection, including the United States in certain circumstances, unless derogation exists or a valid GDPR transfer mechanism (for example, the European Commission approved Standard Contractual Clauses, or the SCCs, and the UK International Data Transfer Agreement or Addendum, or the UK IDTA, have been put in place. Where relying on the SCCs or the UK IDTA for data transfers, transfer impact assessments are required to assess whether the recipient is subject to local laws which allow public authority access to personal data. Failure to implement valid mechanisms for personal data transfers from Europe may result in increased exposure to regulatory actions, substantial fines and injunctions against processing personal data from Europe. Inability to export personal data may also: (i) restrict our activities outside Europe; (ii) limit the ability to collaborate with partners as well as other service providers, contractors and other companies outside of Europe; and/or (iii)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provides that EU member states or the UK may make their own further laws and regulations limiting the processing of personal data, including genetic, biometric, or health data. In addition, following the UK’s exit from the EU, or Brexit, there is increasing scope for divergence in application, interpretation and enforcement of the data protection laws between these territories. For example, the UK has recently introduced a new Data (Use and Access) Bill. This development could reshape the UK’s data protection landscape, distancing it from the EU’s data protection regime and threaten the UK adequacy decision from the EU Commission allowing the free flow of personal data from the UK to the EEA, which may lead to additional compliance costs and could increase our overall risk. This lack of clarity on future UK laws and regulations and their interaction with those of the EU could add legal risk, uncertainty, complexity, and cost; and any resulting divergence in laws could increase our risk profile and necessitate further compliance measures.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the GDPR can result in significant practical, legal, and financial repercussions, including the destruction of improperly gathered or used personal data, substantial fines of up to €20 million (£17.5 million for the UK) or 4% of the company’s global annual turnover, mandatory audits, orders to cease or modify data use, and a private right of action enabling data subjects and consumer associations to lodge complaints with supervisory authorities, seek judicial remedies, and obtain compensation for damages resulting from violations of the GDPR.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privacy and security of personal information are regulated by various federal and state laws, such as health information privacy laws, comprehensive state privacy laws, security breach notification laws, and consumer protection laws. At the state level, numerous states now have comprehensive privacy laws in effect, adding complexity, variation in requirements, restrictions and potential legal risk requiring additional investment of resources in compliance programs. These laws impose certain obligations on covered businesses, including obligations to provide specific disclosures in privacy notices and affording individuals certain rights concerning their personal data. While existing state comprehensive privacy laws exempt some data processed in the context of clinical trials, these developments may further complicate compliance efforts, and increase legal risk and compliance costs for us and the third parties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legislators and regulators in the United States are also imposing new and heightened protections for health and other sensitive information that could impact our business. For example, the Federal Trade Commission, or the FTC, has imposed stringent requirements on the collection and disclosure of sensitive categories of personal information, including health information, and has expanded the application of its Health Breach Notification Rule.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 Additionally, a small number of states have passed or are considering laws governing the privacy of consumer health data.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regulators and legislators in the United States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further risk that we may not be able to adequately protect our information systems from cyberattacks. Such security breaches, incidents and compromises could result in the disclosure of confidential, protected, or personal information, damage our reputation, and expose us to significant financial and legal exposure, including potential civil fines and penalties, litigation, and regulatory investigations or enforcement actions under laws such as HIPAA and the GDPR. Further, all 50 states in the United States have laws including obligations to provide notification of unauthorized acquisition of personal information to affected individuals, state officers and others. Some laws may also impose physical and electronic security requirements regarding the safeguarding of personal information. In order to comply with privacy and information security laws, we have confidentiality and information security standards and procedures in place for our business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these multifaceted privacy and data security laws can be time-consuming, and failure to comply with any of these regulations could lead to significant fines and penalties (potentially including criminal prosecution), adversely affecting our reputation, business, financial condition, and operational results. Changes in statutes, regulations, or interpretations of existing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regulations could impose additional requirements on our operations, such as modifications to data processing arrangements, changes to privacy policies, recall or discontinuation of certain data processing methods, or additional recordkeeping requirements. These changes could adversely affect the operation of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risks outlined above, the legal or regulatory actions may also divert our management from their primary operations. Prohibitions, restrictions, or allegations of violations of these laws could materially and adversely affect our business. Hence, ensuring consistent compliance with privacy and data security laws and regulations remains a critical operational imperative for us.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Regulatory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labeling, packaging, distribution, sales, promotion and other activities of development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development candidates are subject to regulation by numerous regulatory authorities in the United States in addition to the FDA, which may include the Centers for Medicare and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drugs is subject to additional requirements and regulations, including extensive recordkeeping, licensing, storage and security requirements intended to prevent the unauthorized sale of such pharmaceutical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Regulation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Regulatory Framework in the EU and United Kingdom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an application must be submitted to the national competent authority and an independent ethics committee in each country in which we intend to conduct clinical trials, much like the FDA and IRB, respectively. Under the new CTR (EU) No 536/2014, which replaced the Clinical Trials Directive 2001/20/EC on January 31, 2022, a single application is now made through the Clinical Trials Information System, or CTIS, for clinical trial authorization in up to 30 EU/EEA countries at the same time and with a single set of documentation.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or Member States concerned of a draft report prepared by a Reference Member State. Part II is assessed separately by each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Member State concerned. The role of the relevant ethics committees in the assessment procedure will continue to be governed by the national law of the Member State concerned, however overall related timelines are defined by the CTR. The new CTR also provides for simplified reporting procedures for clinical trial sponsors.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regulatory approval of our medicinal products under the EU’s regulatory system, we are required to submit a marketing authorization application, or MAA, to be assessed in the centralized procedure. The centralized procedure allows applicants to obtain a marketing authorization, or MA, that is valid throughout the EU, and the additional Member States of the European Economic Area (Iceland, Liechtenstein and Norway), or EEA. It is compulsory for medicinal products manufactured using biotechnological processes, orphan medicinal products, advanced therapy medicinal products (gene-therapy, somatic cell-EU and which is intended for the treatment of HIV, AIDS, cancer, neurodegenerative disorders, auto-immune and other immune dysfunctions, viral diseases or diabetes). The centralized procedure is optional for any other products containing new active substances not authorized in the EU or for products which constitute a significant therapeutic, scientific, or technical innovation or for which a centralized authorization is in the interests of patients at EU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 profile. Once the CHMP has completed its assessment, the CHMP will give a favorable or unfavorable opinion as to whether to grant the authorization.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 opinion.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criteria for designating an “orphan medicinal product” in the EU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 when the application is made. In addition, orphan designation can be granted if the product is intended for a life threatening, seriously debilitating, or serious and chronic condition in the EU and when, without incentives, it is unlikely that sales of the product in the EU would be sufficient to justify the necessary investment in its development. Orphan designation is only available if there is no other satisfactory method approved in the EU of diagnosing, preventing, or treating the applicable orphan condition, or if such a method exists, the proposed orphan medicinal product will be of significant benefit to patients affected by such condition, as defined in Regulation (EC) 847/2000.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designation provides opportunities for fee reductions, protocol assistance, and access to the centralized procedure. In addition, if a product which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 is shown that the designation criteria are no longer met, including where it is shown that the product is sufficiently profitable not to justify maintenance of market exclusivity. Additionally, an MA may be granted to a similar medicinal product for the same indication at any time if: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applicant can establish that its product, although similar to the authorized product, is safer, more effective or otherwise clinically superior;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 holder of the authorized product consents to a second orphan medicinal product application;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 holder of the authorized product cannot supply enough orphan medicinal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pediatric investigation plan, or PIP, in the European Union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an MA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or SPC, by six months (provided an application for such extension is made at the same time as filing the SPC application for the product, or at any point up to two years before the SPC expires). This is the case even when the studies’ results are negative. For orphan medicinal products, the incentive is an additional two years of market exclusivity. Scientific advice and protocol assistance at the EMA are free of charge for questions relating to the development of pediatric medicines.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2016, the EMA launched an initiative, the Priority Medicines scheme, or the PRIME scheme, to facilitate development of development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development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and rapporteur from the CHMP or from the Committee for Advanced Therapies, or CAT, are appointed early in the PRIME scheme facilitating increased understanding of the product at EMA’s committee level. An initial meeting with the CHMP/CAT rapporteur initiates these relationships and includes a team of multidisciplinary experts at the EMA to provide guidance on the overall development and regulatory strategies. PRIME eligibility does not change the standards for product approval, and there is no assurance that any such designation or eligibility will result in expedited review or approval. The aforementioned EU rules are generally applicable in the EEA. The United Kingdom left the EU on January 31,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United Kingdom and EU pharmaceutical regulations. At present, Great Britain has implemented EU legislation on the marketing, promotion and sale of medicinal products through the Human Medicines Regulations 2012 (as amended). Except in respect of the new EU Clinical Trials Regulation,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United Kingdom and EU pharmaceutical legislation. However, notwithstanding that there is no wholesale recognition of EU pharmaceutical legislation under the TCA, under a new framework which will be put in place by the Medicines and Healthcare products Regulatory Agency, or MHRA, the United Kingdom’s medicines regulator, from January 1, 2024, the MHRA will take into account decisions on the approval of MAs from the EMA (and certain other regulators) when considering an application for a Great Britain MA.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27, 2023, the United Kingdom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United Kingdom. In particular, the MHRA will be responsible for approving all medicinal products destined for the United Kingdom market (i.e., Great Britain and Northern Ireland), and the EMA will no longer have any role in approving medicinal products destined for Northern Ireland. A single United Kingdom-wide MA will be granted by the MHRA for all medicinal products to be sold in the United Kingdom, enabling products to be sold in a single pack and under a single authorization throughout the United Kingdom. On June 9, 2023, the MHRA announced that the medicines aspects of the Windsor Framework will apply after January 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 must not be more than five in 10,000. Should an orphan designation be granted, the period or market exclusivity will be set from the date of first approval of the product in Great Britain or the EU, wherever is earliest.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Regulatory Framework in Australia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the REWRITE Phase 1/2a trial in Australia and may, in the future, conduct additional clinical trials in Australia. The Therapeutic Goods Administration, or TGA, and the National Health and Medical Research Council set the legislative, regulatory and good clinical practice requirements for conducting clinical research in Australia, and compliance with these laws and codes is mandatory. Australia has also adopted international codes, such as those promulgated by the International Council for Harmonization of Technical Requirements for Registration of Pharmaceuticals for Human Use, or ICH. The ICH guidelines, as annotated by teh TGA, must be complied with across all fields of clinical research, including those related to pharmaceutical quality, nonclinical and clinical data requirements and trial designs. The basic requirements for preclinical data to support a first-in-human trial under ICH guidelines are applicable in Australia, and will form part of the Common Technical Document for the registration of medicines. Requirements related to adverse event reporting in Australia are similar to those required in other major jurisdictions.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Therapeutic Goods Act 1989 and related regulations establish and maintain the national system of controls relating to the efficacy, quality, safety and timely availability of drugs and medical devices in Australia. The TGA is the Australian regulatory authority for therapeutic goods. The TGA describes its remit as being to safeguard and enhance the health of the Australian community through effective and timely regulation of therapeutic goods. The TGA administers two pathways for clinical trials, the Clinical Trials Notification, or CTN, and Clinical Trials Approval, or CTA, schemes. These provide an avenue through which 'unapproved' therapeutic goods may be lawfully supplied for use solely for experimental purposes in humans. The choice of which route to use (CTN or CTA) lies firstly with the Australian clinical trial sponsor and then with the Human Research Ethics Committee, or HREC, that approves the protocol. The CTA pathway, requiring prior regulatory approval, is generally designed for high-risk or novel treatments where there is no or limited knowledge of 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medicines and biologicals typically proceed through 'phases' of development, which generally follow: Phase 1 (human pharmacology), Phase 2 (therapeutic exploratory), and Phase 3 (therapeutic confirmatory). Phase 4 may be conducted for post-marketing surveillance or resolution of treatment uncertainties. Clinical development pathways are becoming less rigid with respect to phase and seamless adaptive trial designs and other cross-phase studies exist.The use of therapeutic goods in any clinical trial must be in accordance with the Guideline for Good Clinical Practice, the National Statement on Ethical Conduct in Human Research and the protocol approved by the HREC responsible for monitoring the conduct of the trial. The trial sponsor must also comply with the requirements of any other Commonwealth and/or state and territory legislation in relation to clinical trials and the supply of therapeutic goods.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for inclusion in the Australian Register of Therapeutic Goods, or ARTG, is required before a pharmaceutical product that is not otherwise the subject of a relevant exemption or exclusion may be marketed (or imported, exported, manufactured or supplied) in Australia. In order to obtain registration of the product on the ARTG, it is required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and well-controlled clinical trials demonstrate the quality, safety and efficacy of the therapeutic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evidence is compiled which demonstrates that the manufacture of the therapeutic product complies with the principles of cGMP;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and clinical data is derived to submit to the relevant independent advisory committee to the TGA, which makes recommendations as to whether or not to grant approval to include the therapeutic product in the ARTG; for example, the Advisory Committee on Medicines;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ultimate decision is made by the Secretary of the Department of Health and Aged Care, via the TGA, whether to include the therapeutic product in the ARTG.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Therapeutic goods need to be entered on the ARTG before they can be supplied in Australia, unless a relevant exemption or exclusion applies. However, aside from use during an approved clinical trial, there are a limited ways that patients may gain access to such products or indications that have not been approved for use in Australia,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Special Access Scheme allows a health practitioner to access an unapproved therapeutic good for an individual patient on a case-by-case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professionals can apply to the TGA to become an Authorised Prescriber of a specific unapproved good to specific patients with a particular medical condition. In some instances, doctors also need to have their application approved by a human research ethics committee or endorsed by a specialist college.</w:t>
      </w:r>
    </w:p>
    <w:p>
      <w:pPr>
        <w:pStyle w:val="TextBody"/>
        <w:bidi w:val="0"/>
        <w:spacing w:before="360" w:after="283"/>
        <w:jc w:val="left"/>
        <w:rPr>
          <w:rFonts w:ascii="Times New Roman" w:hAnsi="Times New Roman"/>
          <w:sz w:val="20"/>
        </w:rPr>
      </w:pPr>
      <w:r>
        <w:rPr>
          <w:rFonts w:ascii="Times New Roman" w:hAnsi="Times New Roman"/>
          <w:b/>
          <w:i/>
          <w:color w:val="000000"/>
          <w:sz w:val="20"/>
        </w:rPr>
        <w:t>Pharmaceutical 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in the United States and markets in other countries generally rely on third-party payors to cover and reimburse all or part of the costs associated with their treatment, including the cost of drugs. Adequate coverage and reimbursement from governmental healthcare programs, such as Medicare and Medicaid, and commercial payors is critical to new product acceptance for any product that we may commercialize. Our ability to successfully commercialize our development candidates will depend in part on the extent to which coverage and adequate reimbursement for these products and related treatments will be available from government health administration authorities, private health insurers and other organizations.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process for determining whether a third-party payor will provide coverage for a product may be separate from the process for setting the price or reimbursement rate that the payor will pay for the product once coverage is approved. Government authorities and other third-party payors, such as private health insurers and health maintenance organizations, decide which products they will pay for and establish reimbursement levels. Third-party payors are increasingly challenging the prices charged, examining the medical necessity, and reviewing the cost-effectiveness of medical products and services and imposing controls to manage costs (for example, formularies, prior authorization, step therapy, quantity limits, and site-of-care restrictions,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 Third-party payors may limit coverage for a product for narrower patient subpopulations or might not include all of the approved products for a particular indication. Net prices for products may also be reduced by mandatory discounts or rebates required by government healthcare programs or private payors and by any future relaxation of laws that presently restrict imports of products from countries where they may be sold at lower prices than in the United States. Increasingly, third-party payors are requiring that pharmaceutical companies provide them with predetermined discounts from list prices and are challenging the prices charged for medical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 Even if coverage is provided, the approved reimbursement amount may not be high enough to allow us to establish or maintain pricing sufficient to realize a sufficient return on our investment.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CMS decides whether and to what extent a new medicine will be covered and reimbursed under Medicare and private payors tend to follow CMS to a substantial degree.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expect that any drugs we develop may need to be administered under the supervision of a physician on an outpatient basis. Under currently applicable U.S. law, certain drugs that are not usually self-administered (such as most injectable drugs) may be eligible for coverage under the Medicare Part B program if: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they are incident to a physician’s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they are reasonable and necessary for the diagnosis or treatment of the illness or injury for which they are administered according to accepted standards of medical practice;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they have been approved by the FDA and meet other requirements of the statute.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Pharmaceutical companies whose products are reimbursed under Medicare Part B must calculate and report certain price reporting metrics to the government, such as average sales price, and best price. Penalties may apply in some cases when such metrics are not submitted accurately and timely. Further, these prices for development candidates may be reduced by mandatory discounts or rebates required by government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ensuring coverage and adequate payment for a product also involves challenges. Pricing of prescription pharmaceuticals is subject to government control in many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development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development candidates. Historically, products launched in the European Union do not follow U.S. price structures and generally prices tend to be significantly lower.</w:t>
      </w:r>
    </w:p>
    <w:p>
      <w:pPr>
        <w:pStyle w:val="TextBody"/>
        <w:bidi w:val="0"/>
        <w:spacing w:before="360" w:after="283"/>
        <w:jc w:val="left"/>
        <w:rPr>
          <w:rFonts w:ascii="Times New Roman" w:hAnsi="Times New Roman"/>
          <w:sz w:val="20"/>
        </w:rPr>
      </w:pPr>
      <w:r>
        <w:rPr>
          <w:rFonts w:ascii="Times New Roman" w:hAnsi="Times New Roman"/>
          <w:b/>
          <w:i/>
          <w:color w:val="000000"/>
          <w:sz w:val="20"/>
        </w:rPr>
        <w:t>Other Healthcare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(i) fraud and abuse laws, such as the federal Anti-Kickback Statute and federal and state false claims and related laws (including the False Claims Act and Civil Monetary Penalties Law); (ii) healthcare fraud and false statement statutes; (iii) privacy and security requirements for health information under HIPAA, as amended by HITECH, and analogous state and foreign data protection laws; (iv) transparency and reporting requirements, including the federal Physician Payments Sunshine Act and state equivalents; (v) federal and state drug price reporting and disclosure laws; and (vi) anti-corruption laws, including the Foreign Corrupt Practices Act and similar foreign requirements. Many state and foreign laws are broader than their federal counterparts, may apply regardless of payor, and may impose additional or different obligations. If our operations are found to be in violation of any of such laws or any other governmental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Reform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ACA was enacted, which, among other things,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in which manufacturers were required to agree to offer 70% point-of-sale discounts off negotiated prices of applicable brand drugs to eligible beneficiaries during their coverage gap period, as a condition for the manufacturer’s outpatient drugs to be covered under Medicare Part D (later replaced under the Inflation Reduction Act with the Manufacturer Discount Program); and provided incentives to programs that increase the federal government’s comparative effectiveness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numerous judicial, administrative, and executive, challenges to certain aspects of the ACA. In addition, other legislative changes have been proposed and adopted in the United States since the ACA was enacted. For example, the American Rescue Plan Act of 2021 eliminated the statutory Medicaid drug rebate cap, currently set at 100% of a drug’s average manufacturer price, for single source and innovator multiple source drugs, effective January 1, 2024. Further, the Budget Control Act of 2011 and subsequent legislation, among other things, created measures for spending reductions by Congress that include aggregate reductions of Medicare payments to providers of 2% per fiscal year, which remain in effect through fiscal year 2032.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American Taxpayer Relief Act of 2012 also further reduced Medicare payments to several types of providers and increased the statute of limitations period for the government to recover overpayments to providers from three to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without generic competition; require companies to pay rebates to Medicare for certain drug prices that increase faster than inflation; and delay until January 1, 2032 the rebate rule that would limit the fees that pharmacy benefit managers can charge. Further, under the IRA, orphan drugs are exempted from the Medicare drug price negotiation program, but only if they have one or more orphan designations and for which the only approved indication or indications are for a rare disease or condition. Further, judicial challenges to the IRA may have an impact on the implementation of the IRA’s provisions; and the overall effects of the IRA on our business and the healthcare industry in general is not yet known.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Recently, there has been heightened governmental scrutiny over the manner in which manufacturers set prices for their marketed products. Such scrutiny has resulted in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 The costs of drugs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current U.S. administration has issued executive orders and supported proposed regulatory initiatives in 2025 that could have a significant impact on the prices that we, or any collaborators, may receive for any approved development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laws and regulations may result in additional reductions in Medicare and other healthcare funding and otherwise affect the prices we may obtain for any development candidates for which we may obtain regulatory approval or the frequency with which any such development candidate is prescribed or used.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U.S. Environmental, Health and Safety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 </w:t>
      </w:r>
    </w:p>
    <w:p>
      <w:pPr>
        <w:pStyle w:val="TextBody"/>
        <w:bidi w:val="0"/>
        <w:spacing w:before="360" w:after="283"/>
        <w:jc w:val="left"/>
        <w:rPr>
          <w:rFonts w:ascii="Times New Roman" w:hAnsi="Times New Roman"/>
          <w:sz w:val="20"/>
        </w:rPr>
      </w:pPr>
      <w:r>
        <w:rPr>
          <w:rFonts w:ascii="Times New Roman" w:hAnsi="Times New Roman"/>
          <w:b/>
          <w:color w:val="000000"/>
          <w:sz w:val="20"/>
        </w:rPr>
        <w:t>Employees and Human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58 full-time employees, including 44 who hold Ph.D. degrees or other advanced degrees; 39 employees are engaged in research and development and 19 employees are engaged in management or general and administrative activities. None of our employees are subject to a collective bargaining agreement or represented by a trade or labor union. We consider our relationship with our employees to be good. We also employ consultants from time to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as a Delaware corporation, on November 13, 2014 under the name “Frequency Therapeutics, Inc.”. On November 3, 2023, we completed a business combination and changed our name to Korro Bio, Inc. Our principal executive office is located at 60 First Street, 2nd Floor, Suite 250, Cambridge, MA 02141, and our telephone number is 617-468-1999. Our website address is https://www.korrobio.com/. The information contained on, or that can be accessed through, our website is not incorporated by reference into this Annual Report on Form 10-K or in any other report or document we have filed or may file with the Securities and Exchange Commission, or SEC, and any reference to our website address is intended to be an inactive textual reference only.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item1a_risk_factors"/>
      <w:bookmarkEnd w:id="3"/>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consider carefully the risks and uncertainties described below, together with all of the other information in this Annual Report on Form 10-K and in our other filings with the Securities and Exchange Commission, or SEC. We operate in a dynamic and rapidly changing industry that involves numerous risks and uncertainties. The risks and uncertainties described below are not the only ones we face. Other risks and uncertainties, including those that we do not currently consider material, may impair our business. If any of the risks discussed below actually occur, our business, financial condition, operating results or cash flows could be materially adversely affected. This Annual Report on Form 10-K also contains forward-looking statements that involve risks and uncertainties. Our actual results could differ materially from those anticipated in these forward-looking statements as a result of certain factors, including the risks we face as described below and elsewhere in this Annual Report on Form 10-K. See “Cautionary Statement Regarding Forward 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inception. We expect to incur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Our net loss was $117.3 million and $83.6 million for the years ended December 31, 2025 and 2024, respectively. As of December 31, 2025, we had an accumulated deficit of $383.8 million. We have financed our operations primarily through private placements of our convertible preferred stock and more recently, common stock in our November 2023, April 2024 and March 2026 private placements, and sales under our at-the-market offering program. Substantially all of our losses have resulted from expenses incurred in connection with our research and development and from general and administrative costs associated with our operations, and most recently, a $30.9 million impairment charge in the fourth quarter of 2025 related to our operating lease right-of-use asset and fixed assets. We expect to continue to incur significant expenses, increasing operating losses, and negative operating cash flows for the foreseeable future. The net losses we incur may fluctuate significantly from quarter to quarter.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progress our development candidates, including KRRO-121,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current research programs and preclinical and clinical development of any lead candidates or development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research programs and lead candidates and nominate development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develop OPERA, our RNA editing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enforce, defend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approvals for any development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as we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lead candidates, development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we decide to do so, build and maintain a commercial-scale current good manufacturing practices, or cGMP, manufacturing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it will be many years, if ever, before we have a RNA editing product ready for commercialization. To become and remain profitable, we must develop and, either directly or through collaborators, eventually commercialize a product or products with market potential. This will require us to be successful in a range of challenging activities, including identifying lead candidates, completing preclinical studies and clinical trials of development candidates, obtaining marketing approval for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development candidates, manufacturing, marketing and selling those products for which we may obtain marketing approval and satisfying any post-marketing requirements. We may never succeed in these activities and, even if we are, may never generate revenues that are significant or large enough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we did not reach projected levels of protein in patients in our Phase 1/2a REWRITE clinical trial of KRRO-110 for AATD and our other programs are in early stages of development. In addition, we undertook workforce reductions in May 2025 and November 2025, and in the fourth quarter of 2025, as result of identified indicators of impairment for our long-lived assets, primarily including our operating lease right-of-use, or ROU, asset, and property and equipment, we recognized a non-cash, long-lived asset impairment charge of $30.9 million. Because of the numerous risks and uncertainties associated with developing lead candidates and development candidates, and the risks associated with conducting preclinical studies and clinical trials,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business or continue our operations. A decline in our value could also cause you to lose all or part of your investment. Further, we may not even experience the expected benefits of our May 2025 and November 2025 workforce reductions or our decision to discontinue clinical development of KRRO-110. Further, the long-lived asset impairment charges recognized may affect how investors, analysts, and counterparties assess our financial position and prospects, potentially making it more difficult or expensive to raise capital or enter into collaborations on favorable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generated revenue from product sales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collaborative partners, to successfully complete the development of, and obtain the regulatory approvals necessary to commercialize, candidates we may identify for development. We do not anticipate generating revenues from product sales for many years, if ever. Our ability to generate future revenues from product sales depends heavily on our, or our collaborators’, ability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lead candidates and successfully complete research and development of such lead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and obtain regulatory and marketing approvals for any development candidates for which we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and commercialize any development candidates for which we may obtain regulatory and marketing approval by establishing a sales force, marketing and distribution infrastructure, or alternatively, collaborating with a commercialization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 for adequate coverage and reimbursement by government and third-party payors for any development candidates for which we may obtain regulatory and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development candidates for which we obtain regulatory and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development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favorable terms in any existing or future collaboration, licensing or other arrangements and perform our obligations in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market acceptance by physicians, patients, healthcare payors, and others in the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enforce, defend and expand our portfolio of intellectual property and other proprietary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third party intellectual property claims of infringement, misappropriation or other violation;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top talent and retain qualified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if we are required by the FDA, the EMA, HREC, or TGA, or other regulatory authorities to perform clinical and other studies in addition to those that we currently anticipate. Even if one or more of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candidates we may develop are approved for commercial sale, we anticipate incurring significant costs associated with commercializing any approved development candidate. Additionally, such products may become subject to unfavorable pricing regulations, third-party reimbursement practices or healthcare reform initiatives. Even if we are able to generate revenues from the sale of any approved development candidates, we may not become profitable and may need to obtain additional funding to continue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substantial additional funding. If we are unable to raise capital when needed, we will be forced to delay, reduce, eliminate or prioritize among our research and development programs or future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continue to increase in connection with our ongoing activities, particularly as we identify, continue the research and development of, initiate preclinical studies and clinical trials of, and seek marketing approval for, our lead candidates and development candidates. Because we have limited financial and managerial resources, we have prioritized our research programs and oligonucleotide optimization efforts in specific indications among many potential options. Specifically, our initial development programs target liver and central nervous systems indications, amongst others. As a result of this prioritization, we may forego or delay pursuit of opportunities with other lead candidates or development candidates or for other indications that later prove to have greater clinical or commercial potential and we may need to reprioritize our focus in the future. Our resource allocation decisions may cause us to fail to capitalize on viable commercial products or profitable market opportunities. For example, KRRO-110, which used an LNP delivery system, did not reach projected levels of protein in patients in our Phase 1/2a REWRITE clinical trial for AATD and we have since transitioned to a GalNAc-conjugated delivery system for our AATD program. Our spending on current and future research and development programs, lead candidates and development candidates for specific indications may not yield any commercially viable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obtain marketing approval for any candidates we may develop, we expect to incur significant commercialization expenses related to product sales, marketing, manufacturing and distribution to the extent that such sales, marketing, manufacturing and distribution are not the responsibility of a collaborator.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pStyle w:val="TextBody"/>
        <w:bidi w:val="0"/>
        <w:spacing w:before="120" w:after="283"/>
        <w:jc w:val="left"/>
        <w:rPr>
          <w:rFonts w:ascii="Times New Roman" w:hAnsi="Times New Roman"/>
          <w:sz w:val="20"/>
        </w:rPr>
      </w:pPr>
      <w:r>
        <w:rPr>
          <w:rFonts w:ascii="Times New Roman" w:hAnsi="Times New Roman"/>
          <w:color w:val="000000"/>
          <w:sz w:val="20"/>
        </w:rPr>
        <w:t>As of December 31, 2025, our cash, cash equivalents and marketable securities were $85.2 million, excluding restricted cash, or $88.6 million, including restricted cash. We believe our existing cash, cash equivalents and marketable securities, together with the net proceeds raised under sales under our at-the-market offering program and March 2026 private placement, will be sufficient to fund our operating expenses and capital expenditure requirements through several value-creating milestones and into the second half of 2028. However, our operating plan may change as a result of factors currently unknown, and expectations regarding our cash runway and ability to reach data inflection points are based on numerous assumptions that may prove to be untrue. As a result, we may be required to raise capital sooner than anticipated and our exposure to certain contingent liabilities and contractual obligations may be greater than anticipated. Our future capital requirements will depend on many other factors, including those discussed in the risk factor entitled “</w:t>
      </w:r>
      <w:r>
        <w:rPr>
          <w:rFonts w:ascii="Times New Roman" w:hAnsi="Times New Roman"/>
          <w:i/>
          <w:color w:val="000000"/>
          <w:sz w:val="20"/>
        </w:rPr>
        <w:t>We have incurred significant losses since inception. We expect to incur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any development candidates we may develop. We cannot be certain that additional funding will be available on acceptable terms or at all. Although we have an effective shelf registration statement and an at-the-market offering program, we have not sold any shares under the program and we have no committed source of additional capital. If we are unable to raise additional capital in sufficient amounts or on terms acceptable to us, we may have to significantly delay, scale back or discontinue the development or commercialization of any development candidates or other research and development initiatives. We could be required to seek collaborators for potential lead candidates earlier than we would otherwise plan or on terms that are less favorable than might otherwise be available. We could also be required to relinquish or license our rights to lead candidates on unfavorable terms in certain markets where we otherwise would seek to pursue development or commercialization ourselves.</w:t>
      </w:r>
    </w:p>
    <w:p>
      <w:pPr>
        <w:pStyle w:val="TextBody"/>
        <w:bidi w:val="0"/>
        <w:spacing w:before="360" w:after="283"/>
        <w:jc w:val="left"/>
        <w:rPr>
          <w:rFonts w:ascii="Times New Roman" w:hAnsi="Times New Roman"/>
          <w:sz w:val="20"/>
        </w:rPr>
      </w:pPr>
      <w:r>
        <w:rPr>
          <w:rFonts w:ascii="Times New Roman" w:hAnsi="Times New Roman"/>
          <w:b/>
          <w:i/>
          <w:color w:val="000000"/>
          <w:sz w:val="20"/>
        </w:rPr>
        <w:t>We did not reach projected levels of protein in patients in our Phase 1/2a REWRITE clinical trial of KRRO-110 for AATD and have transitioned to GalNAc-conjugated delivery for our AATD program, and may experience delays in developing a potential treatment for AATD. We have not completed any clinical trials nor reported any clinical trial results for any of our proposed delivery methods or RNA editing approaches. Any favorable results we may have from our earlier preclinical studies may not be predictive of results that may be observed in later preclinical studies or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scientific evidence to support the feasibility of developing development candidates using our proprietary RNA editing technology is both preliminary and limited. We dosed very few participants in our Phase 1/2a REWRITE clinical trial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KRRO-110 for AATD. Although we observed functional protein in AATD patients following a single administration of KRRO-110, we did not reach projected levels of protein in patients as of the data cut off date. We have not completed any clinical trials for any of our proposed delivery methods or RNA editing approaches, and we have transitioned from LNP to GalNAc-conjugated delivery for our AATD program. Accordingly, we may experience delays in developing a potential treatment for AATD. In the future, we may use other delivery modalities to deliver our other lead candidates. While LNPs have been validated clinically to deliver oligonucleotides, such as siRNA, they were not clinically proven to deliver oligonucleotides for RNA editing, such as KRRO-110 and our other lead candidates. Similarly, while GalNAc-conjugated delivery has been validated in multiple FDA-approved oligonucleotide therapeutics, there are no FDA-approved GalNAc-conjugated RNA editing oligonucleotide therapeutics. Both of our most advanced programs, KRRO-121 and our AATD program, utilize GalNAc-conjugated delivery. If GalNAc-conjugated delivery fails to effectively deliver our RNA editing oligonucleotides, multiple programs in our pipeline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proprietary RNA editing technology itself may lead to other issues, such as inability to deliver the desired efficacy or safety-related consequences as it is tested in clinical trials. The design of a clinical trial can determine whether its results will support approval of a development candidate and flaws in the design of a clinical trial may not become apparent until the clinical trial is well advanced. Furthermore, preclinical and clinical data are often susceptible to varying interpretations and analyses, and many companies that have believed their development candidates performed satisfactorily in preclinical studies and clinical trials have nonetheless failed to obtain marketing approval of their development candidates. Many lead candidates that initially showed promise in early stage testing for treating a variety of diseases have later been found to lack efficacy or to cause side effects that prevented further clinical development. Accordingly, any favorable results we may have from our earlier preclinical studies may not be predictive of results that may be observed in further preclinical studies or clinical trials.</w:t>
      </w:r>
    </w:p>
    <w:p>
      <w:pPr>
        <w:pStyle w:val="TextBody"/>
        <w:bidi w:val="0"/>
        <w:spacing w:before="360" w:after="283"/>
        <w:jc w:val="left"/>
        <w:rPr>
          <w:rFonts w:ascii="Times New Roman" w:hAnsi="Times New Roman"/>
          <w:sz w:val="20"/>
        </w:rPr>
      </w:pPr>
      <w:r>
        <w:rPr>
          <w:rFonts w:ascii="Times New Roman" w:hAnsi="Times New Roman"/>
          <w:b/>
          <w:i/>
          <w:color w:val="000000"/>
          <w:sz w:val="20"/>
        </w:rPr>
        <w:t>If preclinical studies or clinical trials of any lead candidate or development candidate we may identify fail to demonstrate safety and efficacy to the satisfaction of regulatory authorities or do not otherwise produce positive results, we may incur additional costs or experience delays in completing, or ultimately be unable to complete, the development and commercialization of such development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any development candidates we may identify and develop, we must complete preclinical development and then conduct extensive clinical trials to demonstrate safety and efficacy in humans. Clinical testing is expensive, difficult to design and implement, can take many years to complete, and the outcome is uncertain. A failure of one or more clinical trials can occur at any stage of development. The outcome of preclinical testing and early clinical trials may not be predictive of the success of later clinical trials, and interim results of a clinical trial do not necessarily predict final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Many companies that have believed their lead candidates or development candidates performed satisfactorily in preclinical studies and clinical trials have nonetheless failed, preventing marketing approval of their development candidates. For example, despite our preclinical data, we did not reach projected levels of protein in AATD patients in our REWRITE Phase 1/2a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collaborators, if any, may experience numerous unforeseen events during, or as a result of, clinical trials that could delay or prevent our ability to receive marketing approval or commercialize any development candidates we may identify and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regulators on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or IRBs, or independent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or failing to reach agreement on acceptable clinical trial contracts or clinical trial protocols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any development candidates we may develop may produce negative or inconclusive results, and we may decide, or regulators may require us, to conduct additional clinical trials or abandon product development or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designing well-controlled clinical trials due to ethical considerations that may render it inappropriate to conduct a trial with a control arm that can be effectively compared to a treatment arm;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designing clinical trials and selecting endpoints for diseases that have not been well-studied and for which the natural history and course of the disease is poorly understood;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enrollment of suitable participants in these clinical trials, which may be particularly challenging for some of the rare genetically defined diseases such as UCD, may be delayed or slower than we anticipate;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IRBs, or independent ethics committees may require that we or our investigators suspend or terminate clinical research or clinical trials of any development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any development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any development candidates or other materials necessary to conduct clinical trials of any development candidates may be insufficient or inadequate, including as a result of delays in the testing, validation, manufacturing, and delivery of any development candidates to the clinical sites by us or by third parties with whom we have contracted to perform certain of those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sites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associated with any development candidates that are viewed to outweigh their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in trials of the same class of agents conducted by other sponsors;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are required to conduct additional clinical trials or other testing of any development candidates beyond those that we currently contemplate, if we or our collaborators are unable to successfully complete clinical trials or other testing of any development candidates, or if the results of these trials or tests are not positive or are only modestly positive or if there are safety concerns, we or our collaborators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delayed in obtaining marketing approval for any such development candidates or not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choose to, or be required to, revise or transition strategy for our development candidates or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required to perform additional clinical trials to support approval or be subject to additional post-marketing testing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regulatory authorities withdraw, or suspend, their approval of the product or impose restrictions on our distribution in the form of a REMS or through modification to an existing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development candidates we may develop, could allow our competitors to bring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to market before we do, and could impair our ability to successfully commercialize any development candidates we may develop, any of which may harm our business, financial condition, results of operations, and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substantially dependent on the success of KRRO-121, our lead development candidate, and if KRRO-121 fails to advance successfully, our business would be materially and adversely affected.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concentrated a significant portion of our current resources and efforts on the advancement of KRRO-121, our lead development candidate for the treatment of hyperammonemia, including UCD and HE. KRRO-121 is in preclinical development and has not been tested in humans. KRRO-121 utilizes GalNAc-conjugated delivery and is designed to generate a stabilized, </w:t>
      </w:r>
      <w:r>
        <w:rPr>
          <w:rFonts w:ascii="Times New Roman" w:hAnsi="Times New Roman"/>
          <w:i/>
          <w:color w:val="000000"/>
          <w:sz w:val="20"/>
        </w:rPr>
        <w:t>de novo</w:t>
      </w:r>
      <w:r>
        <w:rPr>
          <w:rFonts w:ascii="Times New Roman" w:hAnsi="Times New Roman"/>
          <w:color w:val="000000"/>
          <w:sz w:val="20"/>
        </w:rPr>
        <w:t xml:space="preserve"> variant of GS with enhanced ammonia clearance capacity. We anticipate submitting a regulatory filing to enable commencement of a first-in-human clinical trial in the second half of 2026. However, there can be no assurance that KRRO-121 will demonstrate safety or efficacy in humans, that our regulatory filing will be accepted, or that we will be able to initiate or complete clinical trials on our anticipated timeline. If KRRO-121 fails to demonstrate safety or efficacy, or if we experience significant delays in its regulatory filing or clinical development, our business, financial condition, results of operations and prospects would be materially and adversely affected. Following the termination of our REWRITE clinical program investigating KRRO-110 for AATD, KRRO-121 is our only nominated development candidate, which increases the concentration of risk in a single program. Our other programs, including our AATD GalNAc-conjugated program, our longevity and liver health program targeting AMPKγ1, and our ALS program targeting TDP-43, are in earlier stages of preclinical development and may not advance to clinical development on a timely basis, or at all.</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the enrollment of patients in clinical trials, or other delays in our clinical trials,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a new development candidate require the enrollment of a sufficient number of patients, including patients who are suffering from the disease the development candidate is intended to treat and who meet other eligibility criteria. Rates of patient enrollment are affected by many factors, including the stage and severity of disease, the nature and requirements of the protocol, the proximity of patients to clinical sites, the availability of effective treatments for the relevant disease, and the eligibility criteria for the clinical trial, possible adverse effects from treatments, the existence of competing clinical trials, the involvement of patient advocacy groups, the availability of new or alternative treatments, lack of efficacy, personnel issues and ease of participation in our clinical trials, among others. Clinical trials can also be impacted by other events unrelated to our business, such as geopolitical events and unrest, such as recent hostilities involving Iran, global pandemics (e.g., COVID-19), or economic uncertainty, including imposition of tariffs that impact the supply chain, or disruptions due to government shutdowns, which can impact regulatory reviews. In April 2025, the United States imposed tariffs on imports on its trading partners and tariff policy (and trading partners subject to such tariffs) has continued to evolve. Historically, tariffs have led to increased costs, political and trade tensions, which negatively affect global supply chains. These types of events can disrupt clinical trial sites and delay patient enrollment, all of which would have a negative impact on our business and ability to obtain regulatory approval.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Discovery, Development and Commercialization</w:t>
      </w:r>
    </w:p>
    <w:p>
      <w:pPr>
        <w:pStyle w:val="TextBody"/>
        <w:bidi w:val="0"/>
        <w:spacing w:before="120" w:after="283"/>
        <w:jc w:val="left"/>
        <w:rPr>
          <w:rFonts w:ascii="Times New Roman" w:hAnsi="Times New Roman"/>
          <w:sz w:val="20"/>
        </w:rPr>
      </w:pPr>
      <w:r>
        <w:rPr>
          <w:rFonts w:ascii="Times New Roman" w:hAnsi="Times New Roman"/>
          <w:b/>
          <w:i/>
          <w:color w:val="000000"/>
          <w:sz w:val="20"/>
        </w:rPr>
        <w:t>The gene editing field and RNA editing in particular is relatively new and is evolving rapidly. We are very early in our development efforts and may not be successful in identifying and developing any candidates. It will be many years before we or our collaborators commercialize a development candidate or generate any revenues, if ever. Additionally, other genetic medicine technologies may be discovered that provide significant advantages over RNA editing, which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primarily upon our ability to identify, develop and commercialize development candidates. We are very early in our development efforts and have focused our research and development efforts to date on developing OPERA, our RNA editing platform, and identifying our initial targeted disease indications. We currently only have one nominated development candidate in our pipeline, KRRO-121 as terminated further development of KRRO-110 after it failed to reach projected levels of protein in our first in-human clinical trial. Although we believe we can demonstrate many of the key advantages of RNA editing, because we are very early in our development efforts, we are not yet certain of the results we may achieve, which may be important for registration and commercialization of any candidates we successfully develop. Such uncertainties include, but are not limited to, the level of editing efficiency needed in a target tissue type to achieve a clinical benefit, and associated safety of our edits in humans. We have also not yet shown that preclinical editing activity can result in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clinically important effects, nor that the data generated by our preclinical studies can translate into positive results in clinical trials.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of our product development programs are still in the research or preclinical stage of development. Our research methodology may be unsuccessful in identifying lead candidates, our development candidates may be shown to have harmful side effects in preclinical </w:t>
      </w:r>
      <w:r>
        <w:rPr>
          <w:rFonts w:ascii="Times New Roman" w:hAnsi="Times New Roman"/>
          <w:i/>
          <w:color w:val="000000"/>
          <w:sz w:val="20"/>
        </w:rPr>
        <w:t>in vitro</w:t>
      </w:r>
      <w:r>
        <w:rPr>
          <w:rFonts w:ascii="Times New Roman" w:hAnsi="Times New Roman"/>
          <w:color w:val="000000"/>
          <w:sz w:val="20"/>
        </w:rPr>
        <w:t xml:space="preserve"> experiments or animal model studies, they may not show promising signals of therapeutic effect in such experiments or studies or they may have other characteristics that may make the development candidates impractical to manufacture, unmarketable, or unlikely to receive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pharmacological properties ascribed to the lead candidates we are testing in preclinical studies may not be positively demonstrated in clinical trials in patients, and they may interact with human biological systems in unforeseen, ineffective or harmful ways (such as we experienced in our REWRITE Phase 1/2a clinical trial). If our development candidates prove to be ineffective, unsafe or commercially unviable, OPERA and our pipeline would have little, if any, value, which would substantially harm our business, financial condition, results of operations and prospects. In addition, our approach, which focuses on using oligonucleotides for drug development, as opposed to multiple or other, more advanced proven technologies, and new products and technologies that may enter the market, may expose us to additional financial risks and make it more difficult to raise additional capital if we are not successful in developing one or more development candidates that receive regulatory approval. Our ability to generate product revenue, which we do not expect will occur for many years, if ever, will depend heavily on the successful development and eventual commercialization of any development candidates we may discover, which may never occur. We currently generate no revenue from sales of any product, and we may never be able to develop or commercialize a marketable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although we believe OPERA, our RNA editing platform, will position us to expand our portfolio of development candidates beyond the initial candidates we may develop, we have not yet successfully developed any candidate and our ability to expand our portfolio may never materialize. </w:t>
      </w:r>
    </w:p>
    <w:p>
      <w:pPr>
        <w:pStyle w:val="TextBody"/>
        <w:bidi w:val="0"/>
        <w:spacing w:before="360" w:after="283"/>
        <w:jc w:val="left"/>
        <w:rPr>
          <w:rFonts w:ascii="Times New Roman" w:hAnsi="Times New Roman"/>
          <w:sz w:val="20"/>
        </w:rPr>
      </w:pPr>
      <w:r>
        <w:rPr>
          <w:rFonts w:ascii="Times New Roman" w:hAnsi="Times New Roman"/>
          <w:b/>
          <w:i/>
          <w:color w:val="000000"/>
          <w:sz w:val="20"/>
        </w:rPr>
        <w:t>RNA editing is a novel technology with limited clinical validation for human therapeutic use. The approaches we take to discover and develop novel therapeutics are unproven and may never lead to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focused on developing products based on RNA editing. Although there have been significant advances in the field of gene editing in recent years, RNA editing technologies are new and largely unproven. The technologies that we have developed have not yet completed clinical development. The scientific evidence to support the feasibility of developing development candidates based on these technologies is both preliminary and limited. Successful development of development candidates by us will require solving a number of issues, including optimizing the efficiency and specificity of such development candidates, and ensuring the therapeutic selectivity of such development candidates. There can be no assurance we will be successful in solving any or all of these issues.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research efforts to date on preclinical work to bring therapeutics to the clinic for our initial indications, and our future success is highly dependent on the successful development of OPERA, our RNA editing platform, as well as cellular delivery methods and therapeutic applications of that technology. While some of the existing, non-RNA editing, gene editing technologies developed by third parties have progressed to clinical trials, they continue to suffer from various limitations, and such limitations may affect our future success. While a number of clinical trials for oligonucleotide products conducted by other companies have not been successful, some have received regulatory approval. The pharmacological properties ascribed to the development candidates we are testing or will test in the future may not be positively demonstrated in clinical trials in patients, and they may interact with human biological systems in unforeseen, ineffective or harmful ways. If our development candidates prove to be ineffective, unsafe or commercially unviable, our OPERA platform and our pipeline would have little, if any, value, which would substantially harm our business, financial condition, results of operations and prospects. We may decide to alter or abandon our initial programs as new data becomes available and we gain experience in developing base editing therapeutics. We cannot be sure that our technologies will yield satisfactory products that are safe and effective, scalable or profitable in our initial indications or any other indication we pursue. </w:t>
      </w:r>
    </w:p>
    <w:p>
      <w:pPr>
        <w:pStyle w:val="TextBody"/>
        <w:bidi w:val="0"/>
        <w:spacing w:before="120" w:after="283"/>
        <w:jc w:val="left"/>
        <w:rPr>
          <w:rFonts w:ascii="Times New Roman" w:hAnsi="Times New Roman"/>
          <w:sz w:val="20"/>
        </w:rPr>
      </w:pPr>
      <w:r>
        <w:rPr>
          <w:rFonts w:ascii="Times New Roman" w:hAnsi="Times New Roman"/>
          <w:color w:val="000000"/>
          <w:sz w:val="20"/>
        </w:rPr>
        <w:t>Development activities in the field of RNA editing are currently subject to a number of risks related to the ownership and use of certain intellectual property rights that are subject to patent reexamination and inter partes proceedings in the United States and opposition proceedings in Europe. For additional information regarding the risks that may apply to our and our licensors’ intellectual property rights, see “—</w:t>
      </w:r>
      <w:r>
        <w:rPr>
          <w:rFonts w:ascii="Times New Roman" w:hAnsi="Times New Roman"/>
          <w:i/>
          <w:color w:val="000000"/>
          <w:sz w:val="20"/>
        </w:rPr>
        <w:t>Risks Related to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very early in our development efforts, and our preclinical studies and clinical trials may not be successful. If we are unable to commercialize our development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very early in our development of development candidates and have focused our efforts to date primarily on platform development, discovery, research, and preclinical development and had only dosed a small number of participants in our terminated Phase 1/2a REWRITE clinical trial of KRRO-110 for AATD. Our development candidate, KRRO-121, is advancing toward a regulatory filing anticipated in the second half of 2026. All of our other programs are still in the research or preclinical stage of development. Our ability to generate product revenues, which we do not expect will occur for many years, if ever, will depend heavily on the successful development, marketing approval and eventual commercialization of our development candidates, which may never occur. We have not yet generated revenue from product sales or otherwise, and we may never be able to develop or commercialize a marketable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these regulatory authorities, the FDA or other regulatory authorities could disagree that we have satisfied their requirements to commence any clinical trial or change their position on the acceptability of our trial designs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clinical trial applications, or CTAs, in other countries, including countries in the European Union, United Kingdom and Australia.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complete the necessary clinical trials, we cannot predict when, or if, we will obtain regulatory approval to commercialize any development candidates in the United States or any other jurisdiction, and any such approval may be for a narrower indication than we seek. In addition, clinical trials conducted in one country may not be accepted by regulatory authorities in other countries, and regulatory approval in one country does not guarantee regulatory approval in any other country. We may in the future decide to conduct other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any clinical trials conducted outside of the United States. If the FDA does not accept the data from any clinical trial that we conduct outside the United States, it would likely result in the need for additional trials, which would be costly and time-consuming and could delay or permanently halt our development of the applicable development candidates. Similarly, marketing approval by the FDA in the United States, if obtained, does not ensure approval by regulatory authorities in other countries or jurisdictions. Approval processes vary among countries and can involve additional development candidate testing and validation and additional administrative review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Commercialization of any development candidates we may develop will require preclinical and clinical development; regulatory and marketing approval in multiple jurisdictions, including by the FDA, the EMA, HREC and TGA; manufacturing supply, capacity and expertise; a commercial organization; and significant marketing efforts. The success of our development candidates will depend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preclinical studies, including toxicology studies, biodistribution studies and minimally efficacious dose studies in animals, where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INDs or comparable foreign applications that allow commencement of our planned clinical trials or future clinical trials for any development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including under the FDA’s current GCPs, current GLPs, and any additional regulatory requirements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results from our future clinical trials that support a finding of safety and effectiveness and an acceptable risk-benefit profile in the intended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arrangements through our own facilities or with third-party manufacturers for clinical supply and, where applicable,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maintenance, defense and enforcement of patent, trademark, trade secret and other intellectual property protection or regulatory exclusivity for any development candidates we may develop;</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launch of any development candidates we may develop,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benefits and use of the development candidates we may develop, including method of administration,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competition with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tolerability and efficacy profile of any development candidates we may develop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and maintenance of healthcare coverage and adequate reimbursement by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succeed in one or more of these factors in a timely manner or at all, we could experience significant delays or an inability to successfully commercialize any development candidates we may develop, which would materially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Any development candidates we develop may fail in preclinical or clinical development or be delayed to a point where they do not become commercially viable.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 for the commercial distribution of any of our development candidates, we must conduct, at our own expense, extensive preclinical studies and clinical trials to demonstrate the safety and efficacy in humans of our development candidates. Preclinical and clinical testing are expensive, difficult to design and implement, can take many years to complete, are uncertain as to outcome, and the historical failure rate for drugs in preclinical and clinical development is high. For example, we depend on the availability of NHPs to conduct certain preclinical studies. Over the past several years there has been an increasing global shortage of NHPs available for drug development that has matured into an acute global supply chain issue. The supply of these NHPs is currently constrained due to factors such as their limited worldwide availability, domestic regulatory restrictions and trade relations. If we are unable to obtain access to a sufficient supply of these NHPs in a timely manner or at all, our timelines and our ability to complete preclinical testing and submit IND or CTA applications may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one or more of our development candidates can fail at any stage of testing. We may experience numerous unforeseen events during, or as a result of, preclinical studies and clinical trials that could delay or prevent regulatory approval or our ability to commercialize our development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preclinical studies or clinical trials may produce negative or inconclusive results, including results that may not meet the level of significance or clinical benefit required by the FDA, the EMA, HREC, TGA or other regulators, and we may decide, or regulators may require us, to conduct additional preclinical studies or clinical trials, or we may abandon projects that we had expected to be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filing INDs or comparable foreign applications or delays or failure in obtaining the necessary approvals from regulators or IRBs in order to commence a clinical trial at a prospective trial site, or their suspension or termination of a clinical trial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conditions imposed on us by the FDA, the EMA, HREC, TGA or comparable foreign authorities regarding the scope or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divergent views between FDA and other homologue regulatory authorities as to the objectives and/or design of the clinical trials required in support of marketing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in obtaining or maintaining IRB approval of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enrolling patients or volunteers into clinical trials, and variability in the number and types of patients eligible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open study sites, or enroll, treat, and monitor patients due to local restrictions, including as a result of any pandemic or endemic or other geopolitical events that can disrupt supply chains, such as announced tariffs, hostilities in Iran, or other evolving economic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 drop-out rates for patients in clinical trials and substantial missing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our clinical trials or the clinical trials of others for development candidates similar to ours;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future clinical trials to confirm positive results, if any, from earlier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consistently manufacture, inadequate supply, or unacceptable quality of development candidate materials or other materials necessary for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than anticipated clinical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and unexpected side effects that may or may not be related to the development candidate being tested that are experienced by participants in our clinical trials or by individuals using drugs similar to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poor or disappointing effectiveness of our development candidates during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outcome of FDA, EMA, HREC, TGA or other regulatory agency inspection and review of a manufacturing or clinical trial site or other records relating to the clinical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contractors, investigators, or collaboration partners to comply with regulatory requirements or otherwise meet their contractual obligations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governmental or regulatory delays and changes in regulatory requirements, policy and guidelines, including the imposition of additional regulatory oversight around manufacturing, preclinical, or clinical testing generally or with respect to our development candidates class, in particular;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varying interpretations of data by the FDA and similar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successfully conduct clinical development, we will not be able to market and sell products derived from our development candidates or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development candidates fails or is delayed to a point where such development candidate is no longer commercially viable, our business may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conduct clinical trials successfully due to various process-related factors that could negatively impact our business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initiation and completion of any of our clinical trials within timeframes consistent with our business plans, is dependent on various factors, which include, but are not limited to,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 and recruit employees, contractors or consultants with the required level of knowledge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 and recruit, in a timely manner, a sufficient number of patients necessary to conduct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 and maintain a sufficient amount of clinical material, internally or through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adherence to trial designs and protocols agreed upon and approved by regulatory authorities and applicable regulatory and legal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apply the appropriate pharmacovigilance measures in case of adverse effects emerging during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clinical trial designs and protocols approved by regulatory authorities without deficiencies;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and effectively contract with (under reasonable terms), manage and work with investigators, institutions, hospitals and the CROs involved in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negotiate contracts and other related documents with clinical trial parties and IRBs, CRO agreements and site agreements, which can be subject to extensive negotiations that could cause significant delays in the clinical trial process, with terms possibly varying significantly among different trial sites and CROs and possibly subjecting us to various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manage the clinical trial process successfully, our business plans could be delayed or be rendered unfeasible for us to execute within our planned or required time frames, or at all.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cannot successfully manufacture our development candidates for our research and development and preclinical activities, or manufacture sufficient amounts of our development candidates to meet our clinical requirements and timelines,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develop our development candidates, apply for regulatory approvals and commercialize our development candidates, we will need to develop, contract for, or otherwise arrange for the necessary manufacturing and supply capabilities. 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and quality standards, which could result in unusable product and cause delays in our manufacturing timelines and ultimately delay our clinical trials, as well as result in additional expense.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supply chain disruptions (including as a result of announced tariffs, other geopolitical events or global health pandemics) could impact our business. Additionally, our cost of goods development is at an early stage. The actual cost to manufacture and process our development candidates could be greater than expected and could materially and adversely affect the commercial viability of our development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process of manufacturing oligonucleotides is complex and we may encounter difficulties in production, particularly with respect to process development or scaling-up of our manufacturing capabilities.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manufacturing oligonucleotides is complex, highly-regulated and subject to multiple risks. The complex processes associated with the manufacture of our development candidates expose us to various manufacturing challenges and risks, which may include delays in manufacturing adequate supply of our development candidates, limits on our ability to increase manufacturing capacity, and the potential for product failure and product variation in quality that may interfere with preclinical studies and clinical trials, along with additional costs. We may also make changes to our manufacturing process or the delivery system we use at various points during development, and even after commercialization, for various reasons, such as optimizing costs, achieving scale, decreasing processing time, increasing manufacturing success rate, or other reasons. Such changes carry the risk that they will not achieve their intended objectives, and any of these changes could cause our development candidates to perform differently and affect the results of current or future clinical trials, or the performance of the product, once commercialized. In some circumstances, changes in the manufacturing or delivery system may require us to perform ex vivo comparability studies, and/or conduct animal studies, and to collect additional data from patients prior to undertaking more advanced clinical trials. For instance, changes in our manufacturing process 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or delivery system before or after commercialization, and such changes may require us to show the comparability of the resulting product to the product produced via earlier manufacturing processes and supplied or delivery system used in clinical studies. We may be required to collect additional preclinical and/or clinical data from any modified process prior to obtaining marketing approval for the development candidate produced with such modified process. If preclinical and/or clinical data are not ultimately comparable to those seen in the earlier trials, we may be required to make further changes to our process and/or undertake additional clinical testing, either of which could significantly delay the clinical development or commercialization of the associated development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continue to build on our experience in manufacturing oligonucleotides, we have limited experience as a company manufacturing development candidates for commercial supply. We may never be successful in manufacturing development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compliance with cGMP requirements and other quality issues may arise during any internal efforts to scale-up manufacturing, and with our current or any future CMOs. If contaminants are discovered in our supply of our development candidates or in the manufacturing facilities of our CMOs, such manufacturing facilities may need to be closed for an extended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 of time to investigate and remedy the contamination. We cannot assure you that any stability failures or other issues relating to the manufacture of our development candidates will not occur in the future. Additionally, our CMOs may experience manufacturing difficulties due to resource constraints or as a result of labor disputes or unstable political environments. If our CMOs were to encounter any of these difficulties, our ability to provide our development candidate to patients in clinical trials, or to provide product for treatment of patients once approved, would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development candidate or indication and fail to capitalize on development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resources, we intend to focus on developing development candidates for specific indications that we identify as most likely to succeed, in terms of both regulatory approval and commercialization. As a result, we may forego or delay pursuit of opportunities with other development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development candidates for specific indications may not yield any commercially viable products. If we do not accurately evaluate the commercial potential or target market for a particular development candidate, we may relinquish valuable rights to that development candidate through collaboration, licensing or other royalty arrangements in cases in which we would have been more advantageous for us to retain sole development and commercialization rights to such development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candidates may cause undesirable and unforeseen side effects or be perceived by the public as unsafe, which could delay or prevent their advancement into clinical trials or regulatory approval, limit the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dosed very few participants with our development candidates in human clinical trials. Moreover, there have been only a limited number of clinical trials involving the use of genetic medicine technologies and RNA editing technology similar to our technology. It is impossible to predict when, or if, any development candidates we may develop will prove safe in humans. In the genetic medicine field, there have been several significant adverse events from gene therapy treatments in the past, including reported cases of leukemia and death. There can be no assurance that RNA editing technologies will not cause undesirable side effects, such as lymphoma, leukemia, or other cancers, or other aberrantly functioning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such adverse events occur, our future clinical trials could be suspended or terminated. If we are unable to demonstrate that any adverse events were caused by the administration process or related procedures, the FDA, the EMA, HREC, TGA or other regulatory authorities could order us to cease further development of, or deny approval of, any development candidates for any or all targeted indications. Even if we can demonstrate that all future serious adverse events are not product-related, such occurrences could affect patient recruitment or the ability of enrolled patients to complete any future trial. Moreover, if we elect, or are required, to not initiate, delay, suspend or terminate any future clinical trial of any of our development candidates, the commercial prospects of such development candidates may be harmed and our ability to generate product revenues from any of these development candidates may be delayed or eliminated. Any of these occurrences may harm our ability to develop other development candidates, and may adversely affect our business, financial condition, results of operations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development candidates receives marketing approval, the FDA could require us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any of our development candidates, several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suspend or withdraw approvals of such development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a development candidate is administered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occurrences may harm our business, financial condition, results of operations and prospects significantly.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successfully identify patients who are likely to benefit from therapy with any development candidates we develop, or experience significant delays in doing so, we may not realize the full commercial potential of any products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may depend, in part, on our ability to identify patients who are likely to benefit from therapy with any products we may develop, which may require those potential patients to have their DNA analyzed for the presence or absence of a particular sequence. If we, or any third parties that we engage to assist us, are unable to successfully identify such patients, or experience delays in doing so, then: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any development candidates may be adversely affected if we are unable to appropriately select patients for enrollment in our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realize the full commercial potential of any development candidates we develop that receive marketing approval if, among other reasons, we are unable to appropriately select patients who are likely to benefit from therapy with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these factors, we may be unable to successfully develop and realize the commercial potential of any development candidates we may identify and develop, and our business, financial condition, results of operations, and prospects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sales and marketing capabilities or enter into agreements with third parties to market and sell any development candidates, we may be unable to generate any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an organization for the sales, marketing and distribution of any development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development candidates, we may enter into strategic alliances with third parties to develop and commercialize any development candidates, including in markets outside of the United States or for other large markets that are beyond our resources. This will reduce the revenue generated from the sales of these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strategic alliance partners may not dedicate sufficient resources to the commercialization of our development candidates or may otherwise fail in their commercialization due to factors beyond our control. If we are unable to establish effective alliances to enable the sale of our development candidates to healthcare professionals and in geographical regions, including the United States, that will not be covered by our own marketing and sales force, or if our potential future strategic alliance partners do not successfully commercialize the development candidates, our ability to generate revenues from product sales will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to market our development candidates, the market may not be receptive to our development candidates upon their commercial introduction, which will prevent us from becoming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oligonucleotides. As a result, it may be more difficult for us to convince the medical community and third-party payors to accept and use our product, or to provide favorable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we believe will materially affect market acceptance of our development candidates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receipt of any regulatory approvals, the terms of any approvals and the countries in which approvals are obtained;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consistently manufacture our products within acceptable quality standards;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efficacy of our development candidates, as demonstrated in clinical trials and as compared with alternative treatments,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seriousness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accept potentially new routes of administration and their risk tolerance as it relates to potentially serious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physician education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government and third-party payor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of our products, particularly as compared to alternative treatments;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alternative effective treatments for the diseases that development candidates we develop are intended to treat and the relative risks, benefits and costs of those treatments.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estimates regarding the potential market size may be materially different from what we currently expect by the time we commence commercialization, which could result in significant changes in our business plan and may significantly harm our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pharmaceutical industry is intensely competitive. If we are unable to compete effectively with existing drugs, new treatment methods and new technologies, we may be unable to commercialize successfully any drugs that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including UCD, HE and AATD. Many of our competitors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much greater financial, technical and human resources than we have at every stage of the discovery, development, manufacture and commercialization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extensive experience in designing and conducting preclinical studies and clinical trials, obtaining regulatory approvals, and manufacturing, marketing and selling 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candidates that are based on previously tested or accepted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that have been approved or are in late stages of development;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collaborative arrangements in our target markets with leading companies and research institutions.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face intense competition from drugs that have already been approved and accepted by the medical community for the treatment of the conditions for which we may develop products. We also expect to face competition from new drugs that enter the market. We believe a significant number of drugs are currently under development, and may become commercially available in the future, for the treatment of conditions that our current or future development candidates are or may be designed to treat. These drugs may be more effective, safer, less expensive, or marketed and sold more effectively, than any products we develop. Following our transition to GalNAc-conjugated delivery for our AATD program, we may be further behind in our development efforts than our competitors, which could negatively impact our ability to develop a commercially viable product for such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or commercialize products with significant advantages over any products we are able to develop and commercialize based on many different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effectiveness of our products relative to alternative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ease with which our products can be administered and the extent to which patients accept relatively new routes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scope of regulatory approvals for these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cost of manufacturing, marketing and sales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extensive coverage and higher levels of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position.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development candidates. Such competitors could also recruit our employees, which could negatively impact our level of expertise and our ability to execute on our business plan.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Healthcare legislative or regulatory reform measures may have a negative impact on our business and results of operations.</w:t>
      </w:r>
    </w:p>
    <w:p>
      <w:pPr>
        <w:pStyle w:val="TextBody"/>
        <w:bidi w:val="0"/>
        <w:jc w:val="left"/>
        <w:rPr>
          <w:rFonts w:ascii="Times New Roman" w:hAnsi="Times New Roman"/>
          <w:sz w:val="20"/>
        </w:rPr>
      </w:pPr>
      <w:r>
        <w:rPr>
          <w:rFonts w:ascii="Times New Roman" w:hAnsi="Times New Roman"/>
          <w:color w:val="000000"/>
          <w:sz w:val="20"/>
        </w:rPr>
        <w:t>In the United States and some foreign jurisdictions, there have been, and continue to be, several legislative and regulatory changes and proposed changes regarding the healthcare system that could prevent or delay marketing approval of development candidates, restrict or regulate post-approval activities, and affect our ability to profitably sell any development candidates for which we obtain marketing approval. Payors, whether domestic or foreign, or governmental or private, are developing increasingly sophisticated methods of controlling healthcare costs. Recent and proposed healthcare reform measures in the United States have focused in particular on prescription drug pricing, reimbursement, and manufacturer financial obligations under government healthcare programs. These measures include statutory changes, executive actions, and proposed regulations that may affect pricing, coverage, reimbursement methodologies, and market access for pharmaceutical and biological products. For a more complete discussion of healthcare reform and regulatory developments that may affect our business, see Item 1, “</w:t>
      </w:r>
      <w:r>
        <w:rPr>
          <w:rFonts w:ascii="Times New Roman" w:hAnsi="Times New Roman"/>
          <w:i/>
          <w:color w:val="000000"/>
          <w:sz w:val="20"/>
        </w:rPr>
        <w:t>Business—Government Regulation—Healthcare Reform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increasing legislative, regulatory, and enforcement interest in the United States with respect to prescription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any of our development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set a price that we believe is fair for any of our development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healthcare reform measures will be adopted in the future, any of which could result in reduced demand for our development candidates or additional pricing pressures. These cost containment measures (be it federal or state regulations, or regional bidding processes, or most-favored-nation pricing practices, or otherwise) could reduce the ultimate demand for any approved development candidates and or put pressure on our pricing, which could negatively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 2024 U.S. Supreme Court decision may increase regulatory uncertainty and litigation risk and could delay or complicate FDA regulatory review, policymaking, or implementation of regulatory initiatives. 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opportunities for any development candidates we may develop are smaller than we believe they are, our potential revenues may be adversely affected, and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these diseases, as well as the subset of people with these diseases who have the potential to benefit from treatment with development candidates we may develop, are based on estimates. These estimates may prove to be incorrect and new studies may change the estimated incidence or prevalence of these diseases. Additionally, our estimates regarding the potential market size may be materially different from what we currently expect by the time we commence commercialization. The number of patients in the United States, Europe, and elsewhere may turn out to be lower than expected, and patients may not be amenable to treatment with our development candidates, or may become increasingly difficult to identify or gain access to, all of which would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While we intend to seek designations for our development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development candidates are granted such designations, we may not be able to realize the intended benefits of such designations.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FDA and comparable foreign regulatory authorities offer certain designations for development candidates that are designed to encourage the research and development of development candidates that are intended to address conditions with significant unmet medical need. These designations include fast track, or breakthrough therapy, among others, and may confer benefits such as additional interaction with regulatory authorities, a potentially accelerated regulatory pathway and priority review. However, there can be no assurance that we will successfully obtain such designations for any development candidates. See Item 1 “</w:t>
      </w:r>
      <w:r>
        <w:rPr>
          <w:rFonts w:ascii="Times New Roman" w:hAnsi="Times New Roman"/>
          <w:i/>
          <w:color w:val="000000"/>
          <w:sz w:val="20"/>
        </w:rPr>
        <w:t>Business—Government Regulation—Expedited Development and Review Programs for Drugs</w:t>
      </w:r>
      <w:r>
        <w:rPr>
          <w:rFonts w:ascii="Times New Roman" w:hAnsi="Times New Roman"/>
          <w:color w:val="000000"/>
          <w:sz w:val="20"/>
        </w:rPr>
        <w:t xml:space="preserve">” for more information regarding these designations. While such designations could expedite the development or approval process, they generally do not change the standards for approval. Even if we obtain such designations for one or more of our development candidates, there can be no assurance that we will realize their intended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also seek approval of development candidates under the FDA’s accelerated approval pathway or request priority review. There can be no assurance that FDA would allow any of the development candidates we may develop to proceed on an accelerated approval pathway or grant priority review,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 </w:t>
      </w:r>
    </w:p>
    <w:p>
      <w:pPr>
        <w:pStyle w:val="TextBody"/>
        <w:bidi w:val="0"/>
        <w:spacing w:before="120" w:after="283"/>
        <w:jc w:val="left"/>
        <w:rPr>
          <w:rFonts w:ascii="Times New Roman" w:hAnsi="Times New Roman"/>
          <w:sz w:val="20"/>
        </w:rPr>
      </w:pPr>
      <w:r>
        <w:rPr>
          <w:rFonts w:ascii="Times New Roman" w:hAnsi="Times New Roman"/>
          <w:color w:val="000000"/>
          <w:sz w:val="20"/>
        </w:rPr>
        <w:t>In addition, in the European Union, we may seek to participate in The PRIority MEdicines, or PRIME, scheme for our development candidates. The PRIME scheme is intended to encourage drug development in areas of unmet medical need and provides accelerated assessment of products representing substantial innovation, where the marketing authorization application will be made through the centralized procedure in the European Union. There is no guarantee, however, that our development candidates would be deemed eligible for the PRIME scheme and even if we do participate in the PRIME scheme, where during the course of development a medicine no longer meets the eligibility criteria, support under the PRIME scheme may be withdrawn. PRIME eligibility does not change the standards for product approval, and there is no assurance that any such designation or eligibility will result in expedited review or approval. For more information regarding PRIME and the EU regulatory framework, see Item 1 “</w:t>
      </w:r>
      <w:r>
        <w:rPr>
          <w:rFonts w:ascii="Times New Roman" w:hAnsi="Times New Roman"/>
          <w:i/>
          <w:color w:val="000000"/>
          <w:sz w:val="20"/>
        </w:rPr>
        <w:t>Business—Government Regulation—Regulation Outside of the United States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Legal, and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Because we are developing oligonucleotides, which are considered a relatively new class of drugs, there is increased risk that the outcome of our clinical trials will not be sufficient to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ex-U.S. regulatory agencies have relatively limited experience with oligonucleotides, which may increase the complexity, uncertainty and length of the regulatory review process for any development candidates. Even though the FDA issued two draft guidance documents in December 2021 relating to IND submissions for individualized antisense oligonucleotide drugs for severely debilitating or life-threatening genetic diseases, one with clinical focus, the other with chemistry manufacturing and controls focus, and in June 2024 final guidance on clinical pharmacology considerations for the development of oligonucleotide therapeutics, the FDA and its foreign counterparts have not yet established any definitive policies, practices or guidelines in relation to overall development considerations for RNA editing oligonucleotide therapies. The general lack of policies, practices or guidelines specific to oligonucleotides may hinder or slow review by the FDA or other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regulatory agencies of any regulatory filings that we may submit. Moreover, the FDA or other foreign regulatory agencies may respond to these submissions by defining requirements we may not have anticipated. Addressing such requirements could lead to significant delays in the development of our development candidates. In addition, because there may be approved treatments for some of the diseases for which we may seek approval, in order to receive regulatory approval, we may need to demonstrate through clinical trials that the development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As a result of the foregoing factors, we may never receive regulatory approval to market and commercialize any development candidate. 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common stock could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are developing development candidates in the field of genetic medicines in which there is little clinical experience, there is increased risk that the FDA, the EMA, HREC, TGA or other regulatory authorities may not consider the endpoints of our clinical trials to provide clinically meaningful results and that these results may be difficult to analyze.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proceed into clinical development of any development candidates we identify, we will need to submit INDs or comparable foreign applications to regulatory authorities and obtain regulatory clearance to commence clinical development. Because the development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development candidates we may develop. As we are initially seeking to identify and develop development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HREC, TGA or other regulatory authorities may not consider the clinical trial endpoints that we propose to provide clinically meaningful results (reflecting a tangible benefit to patients). In addition, the resulting clinical data and results may be difficult to analyze.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does find our success criteria to be sufficiently validated and clinically meaningful, we may not achieve the pre-specified endpoints to a degree of statistical significance. 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development candidates we may develop will be based on a novel technology that makes it difficult to predict the time and cost of development and of subsequently obtaining regulatory approval. No RNA editing therapeutic product has been approved in the United States or in Europe. Within the broader genome product field, only a limited number of gene therapy products have received marketing authorization or marketing approval from the European Commission or the FDA. Some of these products have taken years to register and have had to deal with significant issues in their post-marketing experience.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development candidate and the approval may be for a narrower indication than we seek.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commercialization, any of our development candidates must be approved by the FDA pursuant to a new drug application, or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development candidates involved. Failure to obtain marketing approval for a development candidate will prevent us from commercializing the development candidates. We have not received approval to market any of our development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Securing marketing approval requires the submission of extensive preclinical and clinical data and supporting information to regulatory authorities for each therapeutic indication to establish the development candidate’s safety and efficacy. Securing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marketing approval also requires the submission of information about the product manufacturing process to, and inspection of manufacturing facilities by, the regulatory authorities. Our development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development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any of our development candidates may be delayed or refused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our development candidates are safe and effective for any of their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our development candidates’ clinical and other benefits outweigh their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programs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development candidates may not be sufficient to support the submission of an NDA or other comparable submission in foreign jurisdictions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of third-party manufacturers with which we contract or procure certain service or raw materials, may not be adequate to support approval of our development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development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also may approve a development candidate for more limited indications than requested or they may impose significant limitations in the form of narrow indications, warnings or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development candidates. Any of the foregoing scenarios could materially harm the commercial prospects for our development candidates and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obtain regulatory approval in the United States or foreign jurisdictions and, as a result, be unable to commercialize our development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a continuously evolving regulatory environment and unanticipated delays. It is possible that none of the development candidates we may develop will obtain the regulatory approvals necessary for us or our collaborators to begin selling them.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FDA and other approvals is unpredictable but typically takes many years following the commencement of clinical trials, depending upon the type, complexity and novelty of the development candidate. The standards that the FDA and its foreign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or failure in obtaining required approvals could adversely affect our ability to generate revenues from the particular development candidates for which we are seeking approval. Furthermore, any regulatory approval to market a product may be subject to limitations on the approved uses for which we may market the product or the labeling or other restrictions. In addition, the FDA has the authority to require a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 </w:t>
      </w:r>
    </w:p>
    <w:p>
      <w:pPr>
        <w:pStyle w:val="TextBody"/>
        <w:bidi w:val="0"/>
        <w:spacing w:before="360" w:after="283"/>
        <w:jc w:val="left"/>
        <w:rPr>
          <w:rFonts w:ascii="Times New Roman" w:hAnsi="Times New Roman"/>
          <w:sz w:val="20"/>
        </w:rPr>
      </w:pPr>
      <w:r>
        <w:rPr>
          <w:rFonts w:ascii="Times New Roman" w:hAnsi="Times New Roman"/>
          <w:b/>
          <w:i/>
          <w:color w:val="000000"/>
          <w:sz w:val="20"/>
        </w:rPr>
        <w:t>Any development candidates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development candidates,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cGMPs, quality control, quality assurance and corresponding maintenance of records and documents, including periodic inspections by the FDA and other regulatory authorities and requirements regarding the distribution of samples to providers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impose requirements for costly post-marketing studies or clinical trials and surveillance to monitor the safety or efficacy of any approved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If we promote our development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development candidates, manufacturers or manufacturing processes, or failure to comply with regulatory requirements,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development candidates,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any approved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may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regulatory approvals, our marketed drugs will be subject to ongoing regulatory oversight. If we fail to comply with continuing U.S. and foreign requirements, our approvals, if obtained, could be limited or withdrawn, we could be subject to other penalties, and our business would be seriously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development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applicable product tracking and tracing requirements and compliance with GCP for any clinical trials that we conduct post-approval. Failure to comply with these requirements could result in warning or untitled letters, criminal or civil penalties, recalls, or product withdrawals. In addition, we intend to seek approval to market our development candidates in jurisdictions outside of the United States, and therefore will be subject to, and must comply with, regulatory requirements in those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CMOs, and the manufacturing facilities we use to make our development candidates will also be subject to ongoing assessment of product quality, compliance with cGMP, and periodic inspection by the FDA and potentially other regulatory agencies. We or our CMOs may not be able to comply with applicable cGMP regulations or similar regulatory requirements outside of the United States. Our failure, or the failure of our CMOs,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development candidates or drugs, operating restrictions and criminal prosecutions, any of which could significantly and adversely affect supplies of our products.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the material ourselves, including reliance on the CMO for regulatory compliance. Our product promotion and advertising will also be subject to regulatory requirements and continuing regulatory review.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 </w:t>
      </w:r>
    </w:p>
    <w:p>
      <w:pPr>
        <w:pStyle w:val="TextBody"/>
        <w:bidi w:val="0"/>
        <w:spacing w:before="0" w:after="240"/>
        <w:jc w:val="left"/>
        <w:rPr>
          <w:rFonts w:ascii="Times New Roman" w:hAnsi="Times New Roman"/>
          <w:sz w:val="20"/>
        </w:rPr>
      </w:pPr>
      <w:r>
        <w:rPr>
          <w:rFonts w:ascii="Times New Roman" w:hAnsi="Times New Roman"/>
          <w:b/>
          <w:i/>
          <w:color w:val="000000"/>
          <w:sz w:val="20"/>
        </w:rPr>
        <w:t>The insurance coverage and reimbursement status of newly-approved products is uncertain. Failure to obtain or maintain adequate coverage and reimbursement for our development candidates could limit our product revenues.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Because our development candidates represent new approaches to the treatment of genetic-based diseases, we cannot be sure that coverage and reimbursement will be available for, or accurately estimate the potential revenue from, our development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 For more information, see Item 1 “</w:t>
      </w:r>
      <w:r>
        <w:rPr>
          <w:rFonts w:ascii="Times New Roman" w:hAnsi="Times New Roman"/>
          <w:i/>
          <w:color w:val="000000"/>
          <w:sz w:val="20"/>
        </w:rPr>
        <w:t>Business – Government Regulation – Pharmaceutical 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development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orphan drug exclusivity for one or more of our development candidates, and even if we do, that exclusivity may not prevent the FDA or the EMA from approving other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designate a development candidate as an orphan drug if it is a drug intended to treat a rare disease or condition. A similar regulatory scheme governs approval of orphan development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development candidates for the same orphan therapeutic indication for that time period. The applicable period is seven years in the United States and ten years in the European Union. The exclusivity period in the European Union can be reduced to six years if a product no longer meets the criteria for orphan designation, in particular if the product is sufficiently profitable so that market exclusivity is no longer justified.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standards for granting orphan drug exclusivity in the gene therapy context are unclear and evolving. In order for the FDA to grant orphan drug exclusivity to one of our development candidates, the agency must find that the development candidates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development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development candidate, that exclusivity may not effectively protect the development candidates from competition because different development candidates can be approved for the same approved use or condition. In addition, even after an orphan drug is approved, the FDA can subsequently approve the same development candidates for the same approved use or condition if the FDA concludes that the later development candidates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development and manufacturing processes involve the use of hazardous materials.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Our procedures for storing, handling and disposing of these materials are reviewed against the relevant guidelines and laws of the jurisdictions in which our facilities are located on a regular basis. Although we believe that our safety procedures for handling and disposing of these materials sufficiently mitigate the risk of accidental contamination or injury from these materials, the risk cannot be completely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become applicable in the future. We may incur substantial costs to comply with, and substantial fines or penalties if we violate any of, these laws or regulations. </w:t>
      </w:r>
    </w:p>
    <w:p>
      <w:pPr>
        <w:pStyle w:val="TextBody"/>
        <w:bidi w:val="0"/>
        <w:spacing w:before="240" w:after="240"/>
        <w:jc w:val="left"/>
        <w:rPr>
          <w:rFonts w:ascii="Times New Roman" w:hAnsi="Times New Roman"/>
          <w:sz w:val="20"/>
        </w:rPr>
      </w:pPr>
      <w:r>
        <w:rPr>
          <w:rFonts w:ascii="Times New Roman" w:hAnsi="Times New Roman"/>
          <w:b/>
          <w:i/>
          <w:color w:val="000000"/>
          <w:sz w:val="20"/>
        </w:rPr>
        <w:t>If we or our collaborators, manufacturers, service providers or other third parties fail to comply with applicable healthcare laws and regulations, we could be subject to enforcement actions, which could affect our ability to develop, market and sell our products and may harm our reputation.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We are currently, and may in the future be, subject to extensive federal, state, local, and comparable foreign healthcare laws and regulations, including those relating to fraud and abuse, anti-kickback restrictions, false claims, transparency and reporting, patient privacy and data protection, and anti-bribery and related requirements, which may constrain the business or financial arrangements and relationships through which we conduct our operations, including how we research, develop, market, sell, and distribute our products for which we obtain marketing approval. The scope and enforcement of these laws is uncertain, subject to rapid change, and dependent on evolving government and industry interpretations, and authorities have increased scrutiny of interactions between healthcare companies and healthcare providers and third-party payors. If our operations are found to be in violation of applicable requirements, we may be subject to penalties and other sanctions, which may include civil or criminal penalties, criminal prosecution, monetary damages, disgorgement, contractual damages, reputational harm, curtailment or restructuring of our operations, exclusion from participation in federal and state healthcare programs (including Medicare and Medicaid), the imposition of a corporate integrity agreement, suspension or withdrawal of product approvals, restrictions or prohibitions on marketing, and other enforcement actions. Any investigation or enforcement action, even if ultimately resolved favorably, could cause us to incur significant legal and compliance expenses, divert management attention, and adversely affect our business, financial condition, results of operations, and prospects. We intend to develop and implement a comprehensive corporate compliance program prior to commercialization; however, compliance programs can mitigate but cannot eliminate the risk of noncompliance and related enforcement. For more information, see Item 1, “</w:t>
      </w:r>
      <w:r>
        <w:rPr>
          <w:rFonts w:ascii="Times New Roman" w:hAnsi="Times New Roman"/>
          <w:i/>
          <w:color w:val="000000"/>
          <w:sz w:val="20"/>
        </w:rPr>
        <w:t>Business—Governmental Regulation—Other Healthcare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Moreover, federal, state or foreign laws or regulations are subject to change, and while we, our collaborators, manufacturers and/or service providers currently may be compliant, that could change due to changes in interpretation, prevailing industry standards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European Union Member States, such as the U.K. Bribery Act 2010. Infringement of these laws could result in substantial fines and imprisonment.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consultants and collaborators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us,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medicines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in human clinical trials of any development candidates we may develop and will face an even greater risk if we commercially sell any products that we may develop. If we cannot successfully defend ourselves against claims that our development candidates or medicines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medicines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need to increase our insurance coverage when we begin clinical trials and if we successfully commercialize any product. Insurance coverage is increasingly expensive. We may not be able to maintain insurance coverage at a reasonable cost or in an amount adequate to satisfy any liability that may arise.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and information systems, or those used by our CROs, CMOs or other contractors or consultants, may fail or suffer security breaches, which could result in a material disruption of our development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development candidates could be significantly delayed.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adequately protect our information systems from cybersecurity incidents or data breaches, which could result in the disclosure of confidential information, damage our reputation, and subject us to significant financial and legal exposure.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upon which we rely face a variety of evolving threats, which could cause cybersecurity incidents or data breaches. Cybersecurity incidents and data breaches are increasing in their frequency, sophistication and intensity, and have become increasingly difficult to detect. Cybersecurity incidents and data breaches could include wrongful conduct by hostile foreign governments, industrial espionage, wrongful conduct by employees or vendors, human error, wire fraud and other forms of cyber fraud, the deployment of harmful malware or ransomware, denial-of-service attacks, social engineering fraud (including successful phishing attacks) or other means to threaten data confidentiality, integrity and availability. A cybersecurity incident or data breach could cause serious negative consequences for us, including, without limitation, the disruption of operations, the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misappropriation of confidential business information, including financial information, trade secrets, financial loss and the disclosure of corporate strategic plans. </w:t>
      </w:r>
    </w:p>
    <w:p>
      <w:pPr>
        <w:pStyle w:val="TextBody"/>
        <w:bidi w:val="0"/>
        <w:spacing w:before="120" w:after="283"/>
        <w:jc w:val="left"/>
        <w:rPr>
          <w:rFonts w:ascii="Times New Roman" w:hAnsi="Times New Roman"/>
          <w:sz w:val="20"/>
        </w:rPr>
      </w:pPr>
      <w:r>
        <w:rPr>
          <w:rFonts w:ascii="Times New Roman" w:hAnsi="Times New Roman"/>
          <w:color w:val="000000"/>
          <w:sz w:val="20"/>
        </w:rPr>
        <w:t>Like other companies in our industry, we and our third party vendors, have experienced, or may experience, threats and cybersecurity incidents relating to our and our third-party vendors’ information systems and infrastructure. Although we devote resources to protect our information systems, there can be no assurance that our efforts will prevent cybersecurity incidents or data breaches that could result in business, legal, financial or reputational harm to us, or would have a material adverse effect on our results of operations and financial condition. Attempts to disrupt or gain unauthorized access to our and our third-party vendors’ information systems from malicious third parties or insider threats may incorporate widely varying and frequently changing tactics, which may be enhanced or facilitated by artificial intelligence. Further, our contracts may not contain limitations of liability, and even where they do, there can be no assurance that limitations of liability in our contracts are sufficient to protect us from liabilities, damages, or claims related to our privacy and data security obligations. Although we maintain cyber liability insurance, this insurance may not provide adequate coverage against potential liabilities related to any experienced cybersecurity incident or breach. For additional information on our cybersecurity obligations as well as our cybersecurity program, see Item 1 “</w:t>
      </w:r>
      <w:r>
        <w:rPr>
          <w:rFonts w:ascii="Times New Roman" w:hAnsi="Times New Roman"/>
          <w:i/>
          <w:color w:val="000000"/>
          <w:sz w:val="20"/>
        </w:rPr>
        <w:t>Business—Government Regulation—Privacy and Cybersecurity</w:t>
      </w:r>
      <w:r>
        <w:rPr>
          <w:rFonts w:ascii="Times New Roman" w:hAnsi="Times New Roman"/>
          <w:color w:val="000000"/>
          <w:sz w:val="20"/>
        </w:rPr>
        <w:t>” and Item 1C “</w:t>
      </w:r>
      <w:r>
        <w:rPr>
          <w:rFonts w:ascii="Times New Roman" w:hAnsi="Times New Roman"/>
          <w:i/>
          <w:color w:val="000000"/>
          <w:sz w:val="20"/>
        </w:rPr>
        <w:t>Cybersecurity</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development candidates outside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market and sell our future development candidates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development candidates in certain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the regulatory requirements in international markets and receive applicable marketing approvals, our target market will be reduced and our ability to realize the full market potential of our development candidates will be harmed and our business will be adversely affected. We may not obtain foreign regulatory approvals on a timely basis, if at all. Our failure to obtain approval of any of our development candidates by regulatory authorities in another country may significantly diminish the commercial prospects of that development candidates and our business prospects could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SEC and other government agencies caused by staffing cuts,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staffing,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Without appropriation of funding to federal agencies, our business operations related to our product development activities for the U.S. market could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regulatory submissions or applications, issue regulations or guidance, or implement or enforce regulatory requirements in a timely fashion or at all. For example, over the last several years, the U.S. government has shut down several times, including for a 43-day period that began on October 1, 2025, and certain regulatory agencies, such as the FDA, have had to furlough critical FDA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government funding of other agencies on which our operations may rely, including those that fund research and development activities and clinical trials, is subject to the political process, which is inherently fluid and unpredictable. Changes to such agencies’ budgets, may negatively impact our operations and ongoing clinical trials.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change in the U.S. presidential administration in 2025, there is substantial uncertainty as to the extent and manner in which the U.S. government will seek to modify or revise the requirements and policies of the FDA and other regulatory agencies with jurisdiction over our development candidates and any products for which we obtain approval. This uncertainty could present new challenges and/or opportunities as we navigate development and approval of our development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our collaborators and our service providers may be subject to a variety of privacy and data security laws, regulations and contractual obligations, and our failure to comply with them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Outside of the United States, many jurisdictions have enacted stringent privacy and data protection laws. The collection, use, disclosure, transfer or other processing of personal data originating from the European Economic Area, or EEA, and United Kingdom is governed by the General Data Protection Regulation, or EU GDPR, and the UK General Data Protection Regulation, or UK GDPR, which, together with the EU GDPR, is referred to as the GDPR. For additional information on these regimes, see Item 1 “</w:t>
      </w:r>
      <w:r>
        <w:rPr>
          <w:rFonts w:ascii="Times New Roman" w:hAnsi="Times New Roman"/>
          <w:i/>
          <w:color w:val="000000"/>
          <w:sz w:val="20"/>
        </w:rPr>
        <w:t>Business—Government Regulation—Privacy and Cybersecurity</w:t>
      </w:r>
      <w:r>
        <w:rPr>
          <w:rFonts w:ascii="Times New Roman" w:hAnsi="Times New Roman"/>
          <w:color w:val="000000"/>
          <w:sz w:val="20"/>
        </w:rPr>
        <w:t>”. Compliance with these and any other applicable privacy and data security laws and regulations is a rigorous and time-intensive process, and we may be required to put in place additional mechanisms to ensure compliance, and despite those efforts, if we fail to comply with any such laws or regulations, we may face significant fines and penalties that could adversely affect our reputation,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use of new and evolving technologies, such as artificial intelligence, or AI,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use and integrate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expect to see increasing government and supranational regulation related to AI use and ethics, which may also significantly increase the burden and cost of research, development and compliance in this area. For example, the European Union began implementing the Artificial Intelligence Act, or AI Act, with a significant part of the law scheduled to come into effect in August 2026. As currently enacted, the AI Act, which may be amended, imposes significant obligations on providers and deployers of high risk AI systems, and encourages providers and deployers of AI systems to account for EU ethical principles in their development and use of these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AI regulatory environment is complex and uncertain. Over the past year, states have advanced, and in some cases passed, dozens of laws focusing on AI governance and regulation, including on deployment of AI in healthcare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settings. At the federal level, the current U.S. administration has endorsed a federal moratorium on the enforcement of state AI laws, including through a December 2025 executive order. So far, these efforts have not been successful at curtailing state action on AI regulation, contributing to a complicated legislative patchwork, which may be litigated in state and federal courts. If we develop or deploy AI systems that are governed by these laws or regulations, we will need to adopt higher standards of data quality, transparency, and human oversight, and adhere to specific and potentially burdensome and costly ethical, accountability, and administrative requirements. We may also be subject to significant enforcement or litigation in the event of any perceived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rapid evolution of AI will require the application of significant resources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Third Party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of employees’ or consultants’ former employers or their clients. These claims may be costly to defend and if we do not successfully do so, we may be required to pay monetary damages and may lose valuable intellectual property rights or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development candidates, which could severely harm our business. Even if we are successful in defending against these claims, litigation could result in substantial costs and be a distraction to management.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and expect to continue to, rely on third parties, such as CROs, clinical data management organizations, medical institutions, preclinical laboratories and clinical investigators, to conduct some aspects of our research. For example, we may rely on third parties to conduct some of our preclinical animal experiments and supply key materials for our programs. Any of these third parties may terminate their engagements with us at any time under certain criteria. If we need to enter into alternative arrangements, we may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finding strategic collaborators for continuing development of certain of our development candidates or successfully commercializing or competing in the market for certain indications; and we may not see any benefit from our collaboration agreement with Novo Nordisk, which is currently on hold.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we entered into a collaboration agreement with Novo Nordisk and in the future, we may decide to collaborate with non-profit organizations, universities, pharmaceutical and other biotechnology companies for the development and potential commercialization of existing and new development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development candidates, the costs and complexities of manufacturing and delivering such development candidates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development candidates or technologies for similar indications that may be available to collaborate on and whether such a collaboration could be more attractive than the one with us for its development candidates.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development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development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any potential collaboration arrangements, including our collaboration agreement with Novo Nordisk, which as of November 2025 is on pause, will depend heavily on the efforts and activities of our collaborators. Collaborators generally have significant discretion in determining the efforts and resources that they will apply to these collaborations. For example, in November 2025, we agreed on a 12-month hold under our collaboration agreement with Novo Nordisk. Disagreements between parties to a collaboration arrangement regarding clinical development and commercialization matters can lead to delays in the development process or commercializing the applicable development candidates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acquisitions or strategic alliances could disrupt our business and harm our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addressing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divestitures due to potential exclusivity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coordination of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from the acquired company;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relationships with strategic partners as a result of product acquisitions or strategic positioning resulting from the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challenges associated with integrating employees from the acquired company into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write-offs or charges;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or other claims in connection with the acquired company, including claims from terminated employees, customers, former stockholders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address these risks or other problems encountered in connection with our past or future acquisitions or strategic alliances could cause us to fail to realize the anticipated benefits of these transactions, cause us to incur unanticipated liabilities and harm our business generally. There is also a risk that future acquisitions will result in the incurrence of debt, contingent liabilities, amortization expenses or incremental operating expenses, any of which could harm our financial condition or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and anticipate that we will rely, on third parties to design, conduct, supervise and monitor our preclinical studies and clinical trials, and if those third parties perform in an unsatisfactory manner, it may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anticipate that we will rely, on third party clinical investigators, CROs, clinical data management organizations and consultants to design, conduct, supervise and monitor preclinical studies and clinical trials of our development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United States,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in the supply and manufacture of our lead candidates and development candidates for our research, preclinical and clinical activities, and may do the same for commercial supplies of our lead or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manufactured our development candidates on a commercial scale, and may not be able to do so for any of our development candidates. We currently rely on third parties in the supply and manufacture of materials for our research, preclinical and clinical activities and may continue to do so for the foreseeable future, including if we received regulatory approval for any development candidates. We may do the same for the commercial supply of our drug product. We use third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to perform additional steps in the manufacturing process, such as the filling, finishing and labeling of vials and storage of our development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development candidates. Furthermore, with the increase of companies developing nucleic acid therapeutics, there may be increased competition for the supply of the raw materials that are necessary to make our oligonucleotides, which could severely impact the manufacturing of our development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ourself, for which we currently have limited capabilities and resources, or enter into an agreement with another third party, which we may not be able to do on reasonable terms, if at all. Any interruption of the development or operation of the manufacturing of our development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lead and development candidates or materials. In some cases, the technical skills or technology required to manufacture our lead and development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lead and development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lead and development candidates in a timely manner or within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required to enter into long-term manufacturing agreements that contain exclusivity provisions and/or substantial termination penalties which could have a material adverse effect on our business prior to or after commercialization of any of our development candidates. If we are unable to obtain or maintain third-party manufacturing for development candidates, or to do so on commercially reasonable terms, we may not be able to develop and commercialize our development candidates successfully. Failure to execute on our manufacturing requirements, either by us or by one of our third-party vendors, could adversely affect our business.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Personnel, Operations and Growth</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attract and retain qualified key management and scientists, staff, consultants and advisors, our ability to implement our business plan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Although we implemented workforce reductions in May 2025 and in November 2025, we expect that we will continue to have an increased need to recruit and hire qualified personnel as we advance our programs and expand operations. Our recent workforce reductions could impede future recruiting and hiring efforts. Failure to successfully recruit and retain personnel could impact our anticipated development plans and timelines. For example, we have faced challenges in retaining and attracting employees to support our research and development efforts, and our failure to do so could have an adverse effect on our ability to execute on our business plan. We are dependent on the continued service of our technical personnel because of the highly technical and novel nature of our lead and development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development candidates and implement our business plan will be limited.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need to expand our research, development, delivery, manufacturing, commercialization, regulatory and future sales and marketing capabilities over time, and as a result, we may encounter difficulties in managing our future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58 full-time employees, including 44 who hold Ph.D. degrees or other advanced degrees; 39 employees are engaged in research and development and 19 employees are engaged in management or general and administrative activities. In May 2025, we announced a workforce reduction and organizational streamlining and in November 2025, we announced a further workforce reduction to extend our cash runway. In connection with the growth and advancement of our pipeline, we expect that we will need to increase the number of our employees and the scope of our operations, particularly in the areas of drug development, regulatory affairs, and as any development candidates near later stage clinical trials and potential commercialization by us, and sales and marketing. To manage our anticipated future growth, we must continue to implement and improve our managerial, operational and financial systems, expand our facilities, and continue to recruit and train additional qualified personnel. Our workforce reduction may make these efforts more challenging. Due to our limited financial resources and the limited experience of our management team in managing a company with such anticipated growth, we may not be able to effectively manage the expected future expansion of our operations or recruit and train additional qualified personnel. Any inability to manage growth could delay the execution of our business plans or disrupt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pre-commercial biotechnology company, we are actively pursuing new platforms and lead candidates in many therapeutic areas and across a wide range of diseases. Successfully developing development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and recent workforce reductions, we may not be able to effectively manage this simultaneous execution and the expansion of our operations or, when appropriate, recruit and train additional qualified personnel. This may result in weaknesses in our infrastructure, give rise to operational mistakes, legal or regulatory compliance failures, loss of business opportunities, further loss of employees and reduced productivity among remaining employees. The physical expansion of our operations may lead to significant costs and may divert financial resources from other projects, such as the development of our potential development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development candidates we may develop will depend in part on our ability to effectively manage our future development and expansion.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not able to obtain or protect intellectual property rights related to any of our lead candidates and development candidates, development and commercialization of our development candidates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where necessary in-licenses of intellectual property rights of others, in the United States and in other countries for our development candidates and platform technologies, as well as for methods used to manufacture our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candidates, and methods for treating patients for approved indications using our development candidates, as well as our ability to preserve our trade secrets, to prevent third parties from infringing upon our proprietary rights and to operate without infringing upon the proprietary rights of others. Certain research and development activities involved in pharmaceutical development are exempt from patent infringement in the United States and other jurisdictions, for example, in the United States by the provisions of 35 U.S.C. § 271I(1), or the Safe Harbor. However, in the United States and certain other jurisdictions, the Safe Harbor exemption can terminate when the sponsor submits an application for marketing approval (e.g., an NDA in the United States). Therefore, the risk that a third party might allege patent infringement may increase as our development candidates approach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Furthermore, any successful challenge to these patents or any other patents owned by or licensed to us in the future after patent issuance could deprive us of rights necessary for the successful commercialization of any of our development candidates. Further, if we encounter delays in regulatory approvals, the period of time during which we could market a development candidate under patent protection could be reduced.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apply for patents or obtain patent protection on certain aspects of our development candidates or our RNA editing platform OPERA in a timely fashion or at all. 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We may not be able to obtain or maintain patent applications and patents due to the subject matter claimed in such patent applications and patents being in the public domain.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development candidates, platform technologies, or any methods relating to them, or to provide meaningful protection from competitors. Consequently, it is unknown whether our platform technology or development candidates will be protectable or remain protected by valid and enforceable patents. Any failure to obtain, maintain or defend our patents and other intellectual property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we are the first to invent the inventions covered by pending patent applications and, if they are not, we may be subject to entitlement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Because patent applications in the United States and other countries are confidential for a period of time after filing, at any moment in time, we cannot be certain that we were in the past or will be in the future the first to file any patent application related to our development candidates. For example, some patent applications in the United States may be maintained in secrecy until the patents are issued. Further, publications in the scientific literature often lag behind actual discoveries. Consequently, we cannot be certain that others have not filed patent applications for technology covered by our owned and issued patents or pending applications, or that we or, if applicable, a licensor were the first to invent or first to file an application for the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can be highly uncertain and involves complex legal and factual questions. As a result, the issuance, scope, validity, enforceability and commercial value of any patent rights are highly uncertain. We will be able to protect our proprietary rights from unauthorized use by third parties only to the extent that our current and future proprietary technology and development candidates are covered by valid and enforceable patents or are effectively maintained as trade secrets. If third parties disclose or misappropriate our proprietary rights, it may materially and adversely impact our position in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maintenance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Thus, in some countries and jurisdictions, it may not be possible to patent some of our lead candidates and development candidates at all. In some countries and jurisdictions, only composition claims may be obtained, and only when those compositions are or contain compounds that are new and/or novel. Also, patents issued with composition claims (</w:t>
      </w:r>
      <w:r>
        <w:rPr>
          <w:rFonts w:ascii="Times New Roman" w:hAnsi="Times New Roman"/>
          <w:i/>
          <w:color w:val="000000"/>
          <w:sz w:val="20"/>
        </w:rPr>
        <w:t xml:space="preserve">i.e., </w:t>
      </w:r>
      <w:r>
        <w:rPr>
          <w:rFonts w:ascii="Times New Roman" w:hAnsi="Times New Roman"/>
          <w:color w:val="000000"/>
          <w:sz w:val="20"/>
        </w:rPr>
        <w:t xml:space="preserve">covering lead candidates and development candidates) cannot always be enforced to protect methods of using those compositions to treat or diagnose diseases or medical conditions. Legal systems in certain countries may not favor enforcement or protection of patents, trade secrets and other intellectual property. Lack of intellectual property protection in such cases may have a materially adverse effect on our business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given the amount of time required for the development, testing and regulatory review of new development candidates, patents protecting such candidates, their manufacture or their use might expire before or shortly after those candidates receive regulatory approval and are commercialized. As a result, our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Patent and Trademark Office, or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lead candidates, development candidates and RNA editing technology. While we will endeavor to try to protect our lead candidates, development candidates and RNA editing technology with intellectual property rights such as patents, as appropriate, the process of filing and prosecuting patent applications, and obtaining, maintaining and defending patents is time-consuming, expensive, uncertain, and sometimes unpredictable.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pending patent applications may not issue as patents, and even issued patents may not provide sufficient protection of our RNA editing platform OPERA, our</w:t>
      </w:r>
      <w:r>
        <w:rPr>
          <w:rFonts w:ascii="Times New Roman" w:hAnsi="Times New Roman"/>
          <w:color w:val="000000"/>
          <w:sz w:val="20"/>
        </w:rPr>
        <w:t xml:space="preserve"> </w:t>
      </w:r>
      <w:r>
        <w:rPr>
          <w:rFonts w:ascii="Times New Roman" w:hAnsi="Times New Roman"/>
          <w:b/>
          <w:i/>
          <w:color w:val="000000"/>
          <w:sz w:val="20"/>
        </w:rPr>
        <w:t>lead candidates and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claims directed toward the technology underlying our OPERA platform, our patents and patent applications contain claims directed to compositions of matter on the active pharmaceutical ingredients, or APIs, in our lead candidates and development candidates, as well as methods-of-use directed to the use of an API for a specified treatment. Composition-of-matter patents on the active pharmaceutical ingredient in prescription drug products provide 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may in-license in the future may fail to issue as patents with claims that cover our lead candidates and development candidates or uses thereof in the United States or in other foreign countries. For example, while our patent applications are pending, we may be subject to a third party preissuance submission of prior art to the USPTO or become involved derivation proceedings, or equivalent proceedings in foreign jurisdictions.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patents do successfully issue, third parties may challenge our patents based on inventorship, validity, enforceability or scope, including through opposition,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proceedings. An adverse determination in any such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development candidates. Furthermore, even if they are unchallenged, our patents and patent applications may not adequately protect our intellectual property or prevent others from designing around our claims. Moreover,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lead candidates and development candidates is threatened, it could dissuade companies from collaborating with us to develop, and threaten our ability to commercialize our development candidates. Further, if we encounter delays in development, testing, and regulatory review of new development candidates, the period of time during which we could market our development candidates under patent protection would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technologies.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Our competitors may have filed, and may in the future file, patent applications covering our products or technology similar to our own. Any such patent application may have priority over our patent applications or patents, which could require us to obtain rights to issued patents covering such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Moreover, it is also possible that prior art may exist that we are aware of but do not believe is relevant to our current or future patents, but that could nevertheless be determined to render our patents invalid.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the patents for which we have applied. To counter infringement or unauthorized use, we may be required to initiate legal proceedings to enforce our patent rights, which can be expensive and time-consuming. If we initiate legal proceedings against a third party to enforce a patent covering one of our development candidates, the defendant could counterclaim that the patent covering our product or development candidates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of patent litigation is often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one or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of our products or certain aspects of our platform technology. Further, a court or administrative body could construe certain patent claims narrowly or refuse to prevent the other party from using the technology at issue on the ground that our patents do not cover the technology.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lead candidates and development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lead candidates and development candidates. An adverse result in any litigation or defense proceedings could put one or more of our patents at risk of being invalidated or interpreted narrowly, could put our patent applications at risk of not issuing and could have a material adverse impact on our business.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establish infringement of any of our patents by a third party,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in-license patent rights in the future,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or our future licensors, as the case may be, may not be able to detect infringement against our owned or in-licensed patents, which may be especially difficult for manufacturing processes or formulation patents. Even if we or our future licensors detect infringement by a third party of owned or future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owned or future in-licensed patents, as the case may be, against that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claims of intellectual property infringement may prevent, delay or otherwise interfere with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our development candidates and use our proprietary technologies without infringing, misappropriating or otherwise violating the intellectual property or proprietary rights of third parties.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is a substantial amount of litigation involving patents and other intellectual property rights in the biotechnology and pharmaceutical industries, as well as administrative proceedings for challenging patents, including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development candidates and/or proprietary technologies infringe, misappropriate or otherwise violate their intellectual property rights.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that are owned by third parties exist in the fields in which we are developing our development candidates. As the biotechnology and pharmaceutical industries expand and more patents are issued, the risk increases that our development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development candidates, technologies or methods. We are aware of competitors in the oligonucleotide space whose patent application filings and/or issued patents may include claims directed to technologies and/or products related to some of our programs and development candidates. For example, we are aware of patents and patent applications owned by third parties that have generic claims that may relate to our technologies and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 party claims that we infringe, misappropriate or otherwise violate our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that,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development candidates or technology at issue infringes on or violates the third party’s rights, and, if the court finds that the infringement was willful, we could be ordered to pay treble damages plus the patent owner’s attorneys’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development candidates, or from using our proprietary technologies, unless the third party licenses its product rights to us, which it is not required to do, on commercially reasonable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we redesign our development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third-party patents of which we are currently unaware with claims to materials, formulations, methods of manufacture or methods for treatment related to the use or manufacture of our lead candidates or development candidates. Because patent applications can take many years to issue, there may be currently pending patent applications that may later result in issued patents that our lead candidates or development candidates may infringe. In addition, third parties may obtain patents in the future and claim that use of our technologies infringes upon these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third-party patents were held by a court of competent jurisdiction to cover the manufacturing process of our lead or development candidates, or materials used in or formed during the manufacturing process, or any final product itself, the holders of those patents may be able to block our ability to commercialize our development candidates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development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development candidates may be impaired or delayed, which could significantly harm our business. Even if we obtain a license, it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be non-exclusive, thereby giving our competitors access to the same technologies licensed to it. In addition, if the breadth or strength of protection provided by our patents and patent applications is threatened, it could dissuade companies from collaborating with us to license, develop or commercialize current or future development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development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development candidates and we may fail to obtain any of these licenses at a reasonable cost or on reasonable terms, if at all. In that event, we would be unable to further develop and commercialize our development candidates, which could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our patents and patent applications, if issued as patents, directed to our proprietary technologies, lead candidates and development candidates are expected to expire from 2040 through 2046,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licensors, collaborators or strategic partners may be subject to third-party claims for infringement or misappropriation of patent or other proprietary rights. We may be generally obligated under our future potential license or collaboration agreements to indemnify and hold harmless our licensors or collaborators for damages arising from intellectual property infringement by us. If we or our future licensors, collaborators or strategic partners are found to infringe a third-party patent or other intellectual property rights, we could be required to pay damages, potentially including treble damages, if we are found to have willfully infringed. In addition, we or our future licensors, collaborators or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it. If we fail to obtain a required license, we or our future collaborators may be unable to effectively market development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acquiring or in-licensing necessary rights to key technologies or any development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future growth of our business may depend in part on our ability to in-license or otherwise acquire the rights to additional development candidates and technologies. There has been extensive patenting activity in the field of gene editing. Pharmaceutical companies, biotechnology companies and academic institutions are competing with us or are expected to compete with us in the in the field of gene editing technology and filing patent applications potentially relevant to our business. In order to market our development candidates, we may find it necessary or prudent to obtain licenses from third-party intellectual property holders. However, we may be unable to secure such licenses or otherwise acquire or in-license any compositions, methods of use, processes, or other intellectual property rights from third parties that we identify as necessary to develop or commercialize our development candidates or other key technologies. We may also require licenses from third parties for certain additional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technologies, including technologies relating to RNA editing, such as guide RNA modification, or target sequences as well as delivery technologies for development candidates we may develop. We may not be able to obtain such a license on an exclusive basis, on commercially reasonable terms, or at all, which could prevent us from commercializing our development candidates or allow our competitors or other third parties the chance to access technology that is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collaborate with academic institutions to accelerate our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and if we are successful in obtaining an in-license, such collaboration may make us subject to governmental step-in rights under the Bayh-Dole Act. If we are unable to do so, such institution may offer the intellectual property rights to others, potentially blocking our ability to pursue our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or acquisition of third-party intellectual property rights is a highly competitive area, and a number of more established companies are also pursuing strategies to license or acquire third-party intellectual property rights that it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we may be unable to obtain required licenses at a reasonable cost or on reasonable terms, if at all. Even if we are able to obtain a license, we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us and our future licensors regarding intellectual property subject to a license agreement, including: the scope of rights granted under the license agreement and other interpretation- 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obtain rights to required third party intellectual property rights or maintain the existing intellectual property rights we have, we may have to abandon development of the relevant program or development candidates,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assert that our employees, consultants, or advisors have wrongfully used or disclosed confidential information or misappropriated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are due to be paid to the USPTO and foreign patent agencies outside of the United States over the lifetime of our owned or licensed patents and applications.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foreign intellectual property rights and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intellectual property rights outside the United States. Filing, prosecuting, and defending patents on lead candidates and development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development candidates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patent law in the United States and in non-U.S. jurisdictions could diminish the value of patents in general, thereby impairing our ability to protect our RNA editing platform technology, lead candidates and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could increase the uncertainties and costs surrounding the prosecution of patent applications and the enforcement or defense of our issued patents and pending patent applications.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Because patent applications in the United States and most other countries are confidential for a period of time after filing or until issuance, we cannot be certain that we or our licensors were the first to either file any patent application related to our technology or lead candidates and development candidates or to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establishing a post-grant review system including post-grant review, </w:t>
      </w:r>
      <w:r>
        <w:rPr>
          <w:rFonts w:ascii="Times New Roman" w:hAnsi="Times New Roman"/>
          <w:i/>
          <w:color w:val="000000"/>
          <w:sz w:val="20"/>
        </w:rPr>
        <w:t>inter partes</w:t>
      </w:r>
      <w:r>
        <w:rPr>
          <w:rFonts w:ascii="Times New Roman" w:hAnsi="Times New Roman"/>
          <w:color w:val="000000"/>
          <w:sz w:val="20"/>
        </w:rPr>
        <w:t xml:space="preserve">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recent U.S. Supreme Court and U.S. Court of Appeals for the Federal Circuit rulings have narrowed the scope of patent protection available in certain circumstances and weakened the rights of patent owners in certain situations. In addition to increasing uncertainty with regard to our ability to obtain patents in the future, these rulings have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future decisions by the courts, the U.S. Congress or the USPTO may impact the value of our patents. Any adverse changes in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laws of other jurisdictions could also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patent applications and the maintenance, enforcement or defense of issued patents. Accordingly, our competitive position may be impaired, and our business, financial condition, results of operations and prospects may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recently the European Unified Patent Court, or UPC, was created as a common patent court to hear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technology, lead candidates and development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does not believe patent protection is appropriate or obtainable.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development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Patent Term Extension, or PTE, and Patent Term Adjustment, or PTA, may be available, but the life of a patent, and the protection it affords, is limited. For more information regarding PTA and PTE, see Item 1 “</w:t>
      </w:r>
      <w:r>
        <w:rPr>
          <w:rFonts w:ascii="Times New Roman" w:hAnsi="Times New Roman"/>
          <w:i/>
          <w:color w:val="000000"/>
          <w:sz w:val="20"/>
        </w:rPr>
        <w:t>Business—Intellectual Property</w:t>
      </w:r>
      <w:r>
        <w:rPr>
          <w:rFonts w:ascii="Times New Roman" w:hAnsi="Times New Roman"/>
          <w:color w:val="000000"/>
          <w:sz w:val="20"/>
        </w:rPr>
        <w:t xml:space="preserve">”. Even if patents covering our development candidates are obtained, once the patent life has expired, we may be open to competition from competitive products, including generics. Given the amount of time required for the development, testing and regulatory review of new development candidates, patents protecting our development candidates might expire before or shortly after we or our partners commercialize those candidates. As a result, our owned and licensed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PTE and data exclusivity for any development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development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candidates we may develop will eventually become commercially available in generic or biosimilar product 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gene therapy products that are similar to any development candidates we may develop or utilize similar base editing technology but that are not covered by the claims of the patents that we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might not have been the first to make the inventions covered by the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license partners or collaborators, may fail to meet our obligations to the U.S. government regarding any in-licensed patents and patent applications funded by U.S. government grants, leading to the loss or unenforceability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or those that we may own in the future will not lead to issued patents;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patents, or parts of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development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unenforceable, or narrowed in scope,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issued patents or patent applications, if and when issued, may not cover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proprietary rights or the proprietary rights of our future license partners or collaborators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patents or patent applications may become involved with competitors, develop products or processes that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conduct research and development activities in countries where we do not have patent rights or enforceable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engaged in scientific collaborations and will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candidates we develops may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third party may challenge, invalidate, circumvent or weaken our patents, and as a result, a court could hold that our patents are not valid, enforceable and infringed;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open source software could impose limitations on our ability to commercialize our development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open source software could impose limitations on our ability to commercialize our development candidates. Our technology utilizes open source software that contains modules licensed for use from third-party authors under open source licenses. In particular, some of the software that powers OPERA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our use for commercial purposes, we may be required to replace those software components, which could result in delays, additional cost and additional regulatory approvals.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software, the terms of many open source licenses have not been interpreted by U.S. courts, and there is a risk that those licenses could be construed in a manner that could impose unanticipated conditions or restrictions on our ability to commercialize our development candidates. We could be required to seek licenses from third parties in order to continue offering our development candidates, to re-engineer our development candidates or to discontinue the sale of our development candidates in the event re-engineering cannot be accomplished on a timely basis, any of which could materially and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could be materially and adversely affected in the future by the effects of disease outbreaks, epidemics and pandemics.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Disease outbreaks, epidemics and pandemics in regions where we may have clinical trial sites or other business operations could adversely affect our business, including by causing significant disruptions in our operations and/or in the operations of CROs upon whom we may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development candidates,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supply chain issues may be exacerbated during disease outbreaks, epidemics and pandemics and may also impact the ability of our clinical trial sites to obtain basic medical supplies used in our trials in a timely fashion, if at all. If any of our raw materials or components suppliers become subject to acts or orders of U.S. or foreign government entities to allocate or prioritize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operations are vulnerable to interruption by disasters, terrorist activity, pandemics and other events beyond our control,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are located in Massachusetts. We have not undertaken a systematic analysis of the potential consequences to our business and financial results from a major flood, power loss, terrorist activity, pandemics or other disasters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 </w:t>
      </w:r>
    </w:p>
    <w:p>
      <w:pPr>
        <w:pStyle w:val="TextBody"/>
        <w:bidi w:val="0"/>
        <w:spacing w:before="120" w:after="283"/>
        <w:jc w:val="left"/>
        <w:rPr>
          <w:rFonts w:ascii="Times New Roman" w:hAnsi="Times New Roman"/>
          <w:sz w:val="20"/>
        </w:rPr>
      </w:pPr>
      <w:r>
        <w:rPr>
          <w:rFonts w:ascii="Times New Roman" w:hAnsi="Times New Roman"/>
          <w:b/>
          <w:i/>
          <w:color w:val="000000"/>
          <w:sz w:val="20"/>
        </w:rPr>
        <w:t>Litigation costs and the outcome of litigation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subject to litigation claims through the ordinary course of our business operations regarding, but not limited to, employment matters, security of employee personal information, contractual relations with third parties and intellectual property rights. Litigation to defend ourself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price of our common stock is volatile and fluctuates substantially, which could result in substantial losses for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has been, and is likely to continue to be, volatile.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lead candidates and development candidates, or those of our competitors or our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development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or our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development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products and services;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incurring and expect to continue to incur additional costs and increased demands upon management as a result of complying with the laws and regulations affecting public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incurring and expect to continue to incur significant legal, accounting and other expenses operating as a public company, including costs associated with public company reporting obligations under the Exchange Act. Our management team includes some individuals who have not previously managed and operated a public company. These executive officers and other personnel will need to devote substantial time to gaining expertise related to public company reporting requirements and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laws and regulations to ensure that we continue to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operating our current business as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12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 smaller reporting company with less than $100.0 million of revenues, we may take advantage of exemptions from various requirements such as an exemption from the requirement to have our independent auditors attest to our internal control over financial reporting under Section 404 of the Sarbanes-Oxley Act of 2002. Although we no longer qualify as an emerging growth company, we still qualify as a “smaller reporting company,” as such term is defined in Rule 12b-2 under the Exchange Act, which allows us to take advantage of many of the same exemptions from disclosure requirements, including reduced disclosure obligations regarding executive compensation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 of the Sarbanes-Oxley Act. This will require that we incur substantial professional fees and internal costs to expand our accounting and finance functions and that we expend significant management efforts. We may experience difficulty in meeting these reporting requirements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certificate of incorporation and bylaws and provisions under Delaware law could make an acquisition of us more difficult and may prevent attempts by our stockholders to replace or remove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restated certificate of incorporation, as amended,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all members of the board are not elected at one time;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the board of directors or for proposing matters that can be acted 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the holders of at least 66.67% of the votes that all our stockholders would be entitled to cast to amend or repeal certain provisions of our charter or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General Corporation Law of Delaware, or the DGCL, which prohibits stockholders owning in excess of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arising pursuant to any provision of the DGCL, our charter or our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Our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our bylaws provide that any person or entity purchasing or otherwise acquiring any interest in shares of our capital stock is deemed to have notice of and consented to the foregoing Delaware Forum Provision and Federal Forum Provision; provided, however, that stockholders cannot and will not be deemed to have waived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Delaware Forum Provision and the Federal Forum Provision may impose additional litigation costs on our stockholders in pursuing any such claims, particularly if our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that we will pay any cash dividends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expectation is that we will retain our future earnings, if any, to fund the growth of our business as opposed to paying dividends. As a result, capital appreciation, if any, of our common stock will be your sole source of gain, if any, for the foreseeable future.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trading market for our common stock may not continue to develop or be sustained and our stockholders may not be able to resell their shares of common stock for a profit,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an active trading market for our shares of common stock may continue to develop or be sustained. If an active market for our common stock does not continue to develop or is not sustained, it may be difficult for our stockholders to sell their shares at an attractive price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shares by existing stockholders could cause our stock price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existing securityholders sell, or indicate an intention to sell, substantial amounts of our common stock in the public market, the trading price of our common stock could decline as a result of the sale of a substantial number of our shares of common stock in the public market or the perception in the market that the holders of a large number of shares intend to sell their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directors and principal stockholders, in the aggregate, beneficially own approximately 77%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 </w:t>
      </w:r>
    </w:p>
    <w:p>
      <w:pPr>
        <w:pStyle w:val="TextBody"/>
        <w:bidi w:val="0"/>
        <w:spacing w:before="36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have broad discretion in the use of our cash and cash equivalents and may invest or spend our cash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You will not have the opportunity to influence our decisions on how to use our cash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development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capital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 In addition, if we raise funds through additional license and collaboration agreements, strategic alliances or licensing arrangements with third parties, we may have to relinquish valuable rights to our intellectual property, technologies, future revenue streams, research programs or development candidates we may develop, or we may have to grant licenses on terms that may not be favorable.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in their implementation or interpretation may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financial condition. In recent years, many such changes have been made and changes are likely to continue to occur in the future. The most recent U.S. federal tax legislation was signed into law on July 4, 2025 and modified how we account for research and development expenses. In addition, it is unclear how these U.S. federal income tax changes will affect state and local taxation.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utilize our net operating loss, or NOL, carryforwards and certain other tax attributes may be limited.</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Since our inception, we have incurred losses and we may never achieve profitability. As of December 31, 2025, we had federal and state NOLs of $462.0 million and $436.9 million, respectively. Under current law, our federal NOLs generated in taxable years ending after December 31, 2017, may be carried forward indefinitely, but the deductibility of such federal NOLs is limited to 80% of our taxable income annually for tax years beginning after December 31, 2018. Federal NOLs generated in taxable years ending on or prior to December 31, 2017, however, have a 20-year carryforward period, but are not subject to the 80% limitation. We have federal NOLs of $22.4 million that are subject to expiration between 2036 and 2037 and have $439.6 million of federal NOLs that do not expire. Our state NOLs expire at various dates from 2035 through 2045. As of December 31, 2025, we had federal research and development tax credit carryforwards of $20.2 million that expire at various dates from 2037 through 2045. In addition, as of December 31, 2025, we had state research and development tax credit carryforwards of $9.9 million that expire at various dates from 2032 through 2040.</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Under Sections 382 and 383 of the Internal Revenue Code of 1986, as amended, or the Code, if a corporation undergoes an “ownership change,” generally defined as one or more shareholders or groups of shareholders who own at least 5% of the corporation’s equity increasing their equity ownership in the aggregate by more than 50 percentage points (by value) over a rolling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may have resulted in such ownership changes in the past. We have not conducted a formal study to assess whether a change of control has occurred or whether there have been multiple changes of control since inception. In addition, we may experience ownership changes in the future as a result of future securities offering or subsequent shifts in our stock ownership, some of which are outside of our control. In particular, if the November 2023 business combination or the private financing that closed immediately prior thereto constitutes an ownership change within the meaning of Section 382 of the Code, we could lose or otherwise be substantially limited in our ability to use our NOLs and tax credit carryforwards. As a result, if we earn net taxable income in the future, our ability to use our pre-change NOLs or other pre-change tax attributes to offset U.S. federal taxable income or income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pStyle w:val="TextBody"/>
        <w:bidi w:val="0"/>
        <w:spacing w:before="20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results of operations or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 severe or prolonged economic downturn could result in a variety of risks to our business, including, weakened demand for our development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may be impacted by macroeconomic conditions, including inflation, rising interest rates and volatile market conditions, and other uncertainties beyond our control, including geopolitical events, such as recent U.S. and Israeli military action in Iran, and effects thereof.</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run our business could be adversely affected by general conditions in the global economy and in the financial services industry. Various macroeconomic factors could adversely affect our business, including fears concerning the banking sector (such as what occurred in 2023), changes in inflation, interest rates and overall economic conditions and uncertainties (including as a result of announced tariffs or other policy changes by the current U.S. administration).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 severe or prolonged economic downturn could result in a variety of risks, including our ability to raise additional funding on a timely basis or on acceptable terms. A weak or declining economy could also impact third parties upon whom we depend to run our business.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Moreover, significant political, trade, regulatory developments, and other circumstances beyond our control, such as geopolitical events, like the recent U.S. and Israeli military action in Iran and effects thereof, could have a material adverse effect on our financial condition or results of operations.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4" w:name="item1b_unresolved_staff_comments"/>
      <w:bookmarkEnd w:id="4"/>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b/>
          <w:color w:val="000000"/>
          <w:sz w:val="20"/>
        </w:rPr>
      </w:pPr>
      <w:bookmarkStart w:id="5" w:name="item1c_cybersecurity"/>
      <w:bookmarkEnd w:id="5"/>
      <w:r>
        <w:rPr>
          <w:rFonts w:ascii="Times New Roman" w:hAnsi="Times New Roman"/>
          <w:b/>
          <w:color w:val="000000"/>
          <w:sz w:val="20"/>
        </w:rPr>
        <w:t>Item 1C. Cybersecurity</w:t>
      </w:r>
    </w:p>
    <w:p>
      <w:pPr>
        <w:pStyle w:val="TextBody"/>
        <w:bidi w:val="0"/>
        <w:spacing w:before="120" w:after="283"/>
        <w:jc w:val="left"/>
        <w:rPr>
          <w:rFonts w:ascii="Times New Roman" w:hAnsi="Times New Roman"/>
          <w:sz w:val="20"/>
        </w:rPr>
      </w:pPr>
      <w:r>
        <w:rPr>
          <w:rFonts w:ascii="Times New Roman" w:hAnsi="Times New Roman"/>
          <w:b/>
          <w:color w:val="000000"/>
          <w:sz w:val="20"/>
        </w:rPr>
        <w:t>Cybersecurity 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the importance of assessing, identifying, and managing risks from cybersecurity threats. We have implemented a cybersecurity risk management process in accordance with our risk profile and business that is informed by industry standards and is integrated into our enterprise risk management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leverage the support of third-party information technology and security providers, including for periodic security testing and risk assessments, as part of our risk management process, designed to identify, assess, and manage cybersecurity risks. We conduct employee cybersecurity training and maintain an incident response and notification plan designed to assist us in identifying, responding to, and recovering from cybersecurity incidents. Further, we intend to evaluate and update our existing cybersecurity policies and procedures as appropriate to continue to align them to our risk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process to assess the security practices of certain third-party vendors, including through the use of vendor security questionnaires, as appropriate. </w:t>
      </w:r>
    </w:p>
    <w:p>
      <w:pPr>
        <w:pStyle w:val="TextBody"/>
        <w:bidi w:val="0"/>
        <w:spacing w:before="120" w:after="283"/>
        <w:jc w:val="left"/>
        <w:rPr>
          <w:rFonts w:ascii="Times New Roman" w:hAnsi="Times New Roman"/>
          <w:sz w:val="20"/>
        </w:rPr>
      </w:pPr>
      <w:r>
        <w:rPr>
          <w:rFonts w:ascii="Times New Roman" w:hAnsi="Times New Roman"/>
          <w:color w:val="000000"/>
          <w:sz w:val="20"/>
        </w:rPr>
        <w:t>Although risks from cybersecurity threats have to date not materially affected us, our business strategy, results of operations or financial condition, we have, from time to time, experienced threats to and breaches of our and our third party vendors’ data and systems. For more information about these risks, see Item 1A “</w:t>
      </w:r>
      <w:r>
        <w:rPr>
          <w:rFonts w:ascii="Times New Roman" w:hAnsi="Times New Roman"/>
          <w:i/>
          <w:color w:val="000000"/>
          <w:sz w:val="20"/>
        </w:rPr>
        <w:t>Risk Factors—Risks Related to Our Business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Governance Related to Cybersecurity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Vice President, Information Technology, or Vice President, who reports to the Chief Operating Officer, is responsible for the strategic leadership and direction of our cybersecurity program. With over 20 years of experience in information technology, the Vice President works alongside individuals across other functions, such as legal and engineering, to establish and implement our cybersecurity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Vice President and our Chief Operating Officer and General Counsel participate in periodic discussions with other members of our management, including executive leadership, regarding implementation of our cybersecurity program, program enhancements, and relevant cybersecurity risks or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has oversight over cybersecurity risks. With the input of the executive team, the Vice President provides annual presentations to the audit committee on our cybersecurity program, including updates on cybersecurity testing and assessments, cybersecurity risks, and related cybersecurity strategy as applicable. The management team will also update the full board of directors on matters related to cybersecurity as needed.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have implemented an enterprise risk management process, which addresses cybersecurity risks. This process is led by our General Counsel and includes participation by the board of directors, as appropriate. Our General Counsel reports regularly on the enterprise risk management process to executive leadership and the audit committee. </w:t>
      </w:r>
    </w:p>
    <w:p>
      <w:pPr>
        <w:pStyle w:val="TextBody"/>
        <w:bidi w:val="0"/>
        <w:spacing w:before="360" w:after="283"/>
        <w:jc w:val="left"/>
        <w:rPr>
          <w:rFonts w:ascii="Times New Roman" w:hAnsi="Times New Roman"/>
          <w:b/>
          <w:color w:val="000000"/>
          <w:sz w:val="20"/>
        </w:rPr>
      </w:pPr>
      <w:bookmarkStart w:id="6" w:name="item2_properties"/>
      <w:bookmarkEnd w:id="6"/>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office is located at 60 First Street, 2nd Floor, Suite 250, Cambridge, MA 02141, where we lease approximately 50,453 square feet of office and laboratory space. The lease term began in May 2023 and will end in April 2034 with an option to extend the term of the lease for an additional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office and laboratory space is adequate for our needs for the foreseeable future. If required, we believe that suitable additional or substitute space will be available in the future on commercially reasonable terms to accommodate any such expansion of our operations. </w:t>
      </w:r>
    </w:p>
    <w:p>
      <w:pPr>
        <w:pStyle w:val="TextBody"/>
        <w:bidi w:val="0"/>
        <w:spacing w:before="360" w:after="283"/>
        <w:jc w:val="left"/>
        <w:rPr>
          <w:rFonts w:ascii="Times New Roman" w:hAnsi="Times New Roman"/>
          <w:b/>
          <w:color w:val="000000"/>
          <w:sz w:val="20"/>
        </w:rPr>
      </w:pPr>
      <w:bookmarkStart w:id="7" w:name="item3_legal_proceedings"/>
      <w:bookmarkEnd w:id="7"/>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various other claims and legal proceedings relating to claims arising out of our operations. We are not currently a party to any material legal proceedings.</w:t>
      </w:r>
    </w:p>
    <w:p>
      <w:pPr>
        <w:pStyle w:val="TextBody"/>
        <w:bidi w:val="0"/>
        <w:spacing w:before="360" w:after="283"/>
        <w:jc w:val="left"/>
        <w:rPr>
          <w:rFonts w:ascii="Times New Roman" w:hAnsi="Times New Roman"/>
          <w:b/>
          <w:color w:val="000000"/>
          <w:sz w:val="20"/>
        </w:rPr>
      </w:pPr>
      <w:bookmarkStart w:id="8" w:name="item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item_5"/>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Capital Market under the symbol “KRRO”.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10, 2026, we had 14,422,571 shares of common stock issued and outstanding held of record by 104 holders. The actual number of holders of these securities is greater than this number of record holders, as the actual number includes holders who are beneficial owners whose securities are held in street name by brokers and other nominees. This number of holders of record also does not include holders whose securities may be held in trust by other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about our equity compensation plans will be included in our definitive proxy statement to be filed with the SEC with respect to our 2026 Annual Meeting of Stockholders and is incorporated herein by reference.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Purchases of Equity Securities by the Issuer or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0" w:name="item_6"/>
      <w:bookmarkEnd w:id="10"/>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[Reserved]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7_managements_discussion_analysis"/>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audited consolidated financial statements and related notes included elsewhere in this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under the heading “Risk Factors” in Part I, Item 1A of this Annual Report on Form 10-K our actual results could differ materially from the results described in or implied by the forward-looking statements contained in the following discussion and analysis. See also “Cautionary Statement Regarding Forward-Looking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with a mission to discover, develop and commercialize a new class of genetic medicines based on editing RNA, enabling the treatment of both rare and highly prevalent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generating a portfolio of differentiated programs that are designed to harness the body’s natural RNA editing process to effect a precise yet transient change to a single nucleoside (adenosine to an inosine edit). By editing RNA instead of DNA, we are expanding the reach of genetic medicines by delivering additional precision and tunability, which has the potential for increased specificity and improved long-term tolerability. We use an oligonucleotide-based approach and expect to bring our medicines to patients by leveraging our proprietary platform with precedented delivery modalities, including N-acetylgalactosamine, or GalNAc, -conjugated delivery for subcutaneous administration, manufacturing know-how, and established regulatory pathways of approved oligonucleotide medicines. However, the scientific evidence to support the feasibility of developing our development candidates using our RNA editing technology is both preliminary and limited. Moreover, regulators have not yet established any definitive guidelines related to overall development considerations for RNA editing therapies and limited clinical data has been generated to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versatility of RNA editing combined with our OPERA platform broadens the therapeutic target space significantly. The advent of large-scale genome sequencing has progressively revealed causal genetic variation underlying several human diseases, both rare and highly prevalent. Genetic mutations, including SNVs implicated in disease have been found to be diverse in nature and can affect the function of genes and their associated downstream biochemical pathways. Data correlating DNA to RNA to disease phenotype have demonstrated that SNVs lead to a loss-of-function or a gain-of-function of the gene. In addition, the majority of SNVs implicated in complex diseases are due to modulation of gene function. By editing RNA to mimic a SNV, we believe we will be able to address unmet patient need by transiently modifying gene expression and the resultant protein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make meaningful advancements across our programs, including KRRO-121 as a potential first-in-class treatment for hyperammonemia that has the potential to address substantial unmet need in patients with poor ammonia control, including those with UCD and HE. KRRO-121 is an RNA-editing oligonucleotide conjugated with GalNAc in development for the potential treatment of UCDs of any mutational background in adults and adolescents. Utilizing our proprietary platform, we designed KRRO-121 to edit the GLUL transcript (the gene for the GS protein), to generate a stabilized, de novo variant of GS with enhanced ammonia clearance capacity. This synthetic rescue approach creates a compensating protein rather than repairing the underlying urea cycle defect. By editing GS mRNA to create a de novo protein with a single amino acid change that prevents glutamine-induced proteasomal degradation, we aim to maintain consistent ammonia clearance capacity irrespective of the specific enzyme deficiency in patients with UCD and to reduce ammonia levels in patients with HE. We anticipate a regulatory filing to enable commencement of a first-in-human trial in the second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2025, we announced that KRRO-110 did not reach projected levels of functional protein following a single administration and pivoted to GalNAc delivery for patients with AATD with development candidate nomination expected in the second quarter of 2026. We are developing a next-generation GalNAc-conjugated RNA editing oligonucleotide for the treatment of AATD that has the potential to be disease-modifying and provide a differentiated therapeutic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we announced a strategic plan to streamline our operations, including a reduction in workforce by 19%, or 21 positions. In November 2025, we implemented a strategic restructuring to extend cash runway, including a further workforce reduction of approximately 34%. Please see Note 16 to our audited consolidated financial statements included elsewhere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focused primarily on organizing and staffing our company, business planning, raising capital, securing related intellectual property, and conducting research and development activities for our potential programs and development candidates. Since inception, we have funded our operations primarily through the private placement of our equity securities. To date, we have raised approximately $223.6 million of aggregate gross proceeds from the sale of our convertible preferred stock, $117.3 million from the sale of shares of common stock issued in a private placement that closed immediately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November 2023 business combination, $70.0 million from the April 2024 private placement of shares of our common stock, $5.1 million from sales under our at-the-market offering program, and $85.0 million from the March 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inception. Our net losses were $117.3 million and $83.6 million for the years ended December 31, 2025 and 2024, respectively. We had an accumulated deficit of $383.8 million as of December 31, 2025. We expect to continue to incur significant and increasing expenses and operating losses and negative operating cash flows for the foreseeable future as we continue our research and development efforts, advance development candidates into and through clinical development, and seek regulatory approvals for our development candidates. Our net losses may fluctuate significantly from quarter-to-quarter and year-to-year, depending on the timing of our preclinical studies, initiation and conduct of any clinical trials, and our expenditures on other research and development activities, including the expansion of our pipeline.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development candidates approved for sale and have not generated any revenue from product sales. We will not generate revenue from product sales unless and until we successfully obtain regulatory approval for our development candidates, if ever, and as appropriate, move pipeline candidates into the clinic and complete clinical development. If we obtain regulatory approval for our development candidates and do not enter into third-party commercialization partnerships, we expect to incur significant expenses related to developing commercialization capabilities to support product sales, marketing, manufacturing and distribution activities. As a result, we will need substantial additional funding to support our continuing operations and pursue our development and growth strategy. Until we can generate significant revenue from product sales, if ever, we expect to finance our operations through a combination of public or private offerings of securities,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we issued 501,861 shares of common stock under our December 2024 at-the-market sales agreement for gross proceeds of $5.1 million, before deducting estimated offering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March 2026 Private Placement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March 9, 2026, we entered into a subscription agreement with certain new and existing accredited investors to issue and sell in a private placement an aggregate of 4,501,928 shares of our common stock at a purchase price of $11.11 per share and pre-funded warrants to purchase up to an aggregate of 3,148,836 shares of our common stock (at an exercise price of $0.001 per share) at a price of $11.109 per pre-funded warrant. The private placement, which closed March 10, 2026, resulted in gross proceeds of approximately $85.0 million before deducting placement agent fees and estimated offering expenses.</w:t>
      </w:r>
    </w:p>
    <w:p>
      <w:pPr>
        <w:pStyle w:val="TextBody"/>
        <w:bidi w:val="0"/>
        <w:spacing w:before="20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generated any revenue from product sales, and do not expect to generate any revenue from the sale of products in the near future. During the year ended December 31, 2025 and 2024, we recognized $6.4 million and $2.3 million of collaboration revenue, respectively, which is related to our research collaboration and license agreement with Novo Nordisk. In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November 2025, we agreed to a 12 month pause on such collaboration with Novo Nordisk, and accordingly, we do not expect to recognize any material collaboration revenue under such agreement during the 12-month hold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about our revenue recognition policy, see Note 2 and Note 12 to our audited consolidated financial statements included in this Annual Report on Form 10-K.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research and development activities, including our discovery of novel genetic medicines and the development of our development candidates, salaries and benefits, and third-party license fees. We expense research and development costs as incurred,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and other related costs for employees engaged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CROs that conduct our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purchasing lab supplies and non-capital equipment used in our preclinical activities and in manufacturing preclinical study materials, as well as supplies and materials used to manufacture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outside consultants and contractors engaged in research and development activities, including their fees and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made under third-party licensing agreements;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and allocated expenses for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for certain activities are recognized based on an evaluation of the progress to completion of specific tasks using data such as information provided to us by our vendors and analyzing the progress of our preclinical studies, clinical trials or other services performed. Nonrefundable advance payments for goods or services to be received in the future for use in research and development activities are capitalized. The capitalized amounts are expensed as the related goods are delivered or the services are performed. Significant judgment and estimates are made in determining the accrued expense balances and prepaid expense balances at the end of any reporting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large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and facility expenses, mainly including office rent expenses and depreciation expenses. We do not allocate our internal research and development expenses to specific development candidate programs as they are deployed across multiple projects under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development of our development candidates is highly uncertain. We plan to substantially increase our research and development expenses for the foreseeable future as we continue the development of our candidates, conduct discovery and research activities for our preclinical programs, and expand our pipeline. We cannot determine with certainty the timing of initiation, the duration or the completion costs of current or future preclinical studies and clinical trials of our development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lead candidates and development candidates to pursue and how much funding to direct to each on an ongoing basis in response to the results of ongoing and future preclinical studies and clinical trials, regulatory developments and our ongoing assessments as to each development candidate’s commercial potential. Our clinical development costs are expected to increase significantly as we commence clinical trials. We anticipate that our expenses will increase substantially, particularly due to the numerous risks and uncertainties associated with developing development candidates,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rate of progress, and expenses of our ongoing research activities as well as any preclinical studies, clinical trials and other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profile with IND 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development candidates show safety and efficacy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commercializing development candidates, if and when approved,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acceptable safety profile of products following any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changes in the outcome of any of these variables with respect to the development of our development candidates in preclinical and clinical development could mean a significant change in the costs and timing associated with the development of these development candidates. We may never succeed in achieving regulatory approval for any of our development candidates. We may obtain unexpected results from our clinical trials. We may elect to discontinue, delay or modify clinical trials of some development candidates or focus on other development candidates. For example, if the FDA, EMA, HREC, TGA or another regulatory authority were to delay the planned start of clinical trials or require us to conduct clinical trials or other testing beyond those that we currently expect or if we experience significant delays in enrollment in any planned clinical trial, we could be required to expend significant additional financial resources and time on the completion of clinical development of that development candidate.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 related costs, including salaries, bonuses, benefits, stock-based compensation and other related costs for our executive and administrative functions. General and administrative expenses also include professional services, including legal, finance, accounting, human resources and other consulting fees. General and administrative expenses also include facility costs not otherwise included in research and development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decrease or remain flat in the near future to support our current planned research activities and development of our lead candidates and development candidates at current personnel levels. However, should we grow our operations, we anticipate that such personnel-related expenses would increase. We also expect to continue to incur costs associated with being a public company and maintaining controls over financial reporting, including costs of accounting, audit, legal, regulatory, compliance and director and officer insurance costs as well as investor and public relations expenses.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Long-lived Asset Impairment Charges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determined that indicators of impairment existed during the fourth quarter of 2025 and, as a result, our long-lived assets were reviewed for impairment. We assessed the recoverability of our single enterprise-wide asset group and determined that the assets were not fully recoverable when compared to the future undiscounted cash flows from the asset group. As a result, we estimated the fair value of the asset group, which resulted in a non-cash, long-lived asset impairment charge of $30.9 million in 2025. See Note 3 for further discussion of the impairment analysis.</w:t>
      </w:r>
    </w:p>
    <w:p>
      <w:pPr>
        <w:pStyle w:val="TextBody"/>
        <w:bidi w:val="0"/>
        <w:jc w:val="left"/>
        <w:rPr>
          <w:rFonts w:ascii="Times New Roman" w:hAnsi="Times New Roman"/>
          <w:i/>
          <w:color w:val="000000"/>
          <w:sz w:val="20"/>
        </w:rPr>
      </w:pPr>
      <w:r>
        <w:rPr>
          <w:rFonts w:ascii="Times New Roman" w:hAnsi="Times New Roman"/>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we announced a strategic plan to streamline our operations, including a workforce reduction of approximately 20%. In connection with the November 2025 announcement regarding KRRO-110, we further implemented a strategic restructuring to reserve resources and extend cash runway, including a reduction in our workforce. Restructuring charges consist primarily of severance and employee benefits costs incurred in relation to our reductions in force.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16 to our audited consolidated financial statements included in this Annual Report on Form 10-K for further discussion of our restructuring charges.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primarily consists of interest income earned on money market fund accounts and marketable securities.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years ended December 31, 2025 and 2024: </w:t>
      </w:r>
    </w:p>
    <w:p>
      <w:pPr>
        <w:pStyle w:val="TextBody"/>
        <w:bidi w:val="0"/>
        <w:jc w:val="left"/>
        <w:rPr/>
      </w:pPr>
      <w:r>
        <w:rPr/>
        <w:t> </w:t>
      </w:r>
    </w:p>
    <w:tbl>
      <w:tblPr>
        <w:tblW w:w="7583" w:type="dxa"/>
        <w:jc w:val="left"/>
        <w:tblInd w:w="0" w:type="dxa"/>
        <w:tblLayout w:type="fixed"/>
        <w:tblCellMar>
          <w:top w:w="28" w:type="dxa"/>
          <w:left w:w="28" w:type="dxa"/>
          <w:bottom w:w="28" w:type="dxa"/>
          <w:right w:w="28" w:type="dxa"/>
        </w:tblCellMar>
      </w:tblPr>
      <w:tblGrid>
        <w:gridCol w:w="3256"/>
        <w:gridCol w:w="146"/>
        <w:gridCol w:w="211"/>
        <w:gridCol w:w="841"/>
        <w:gridCol w:w="166"/>
        <w:gridCol w:w="146"/>
        <w:gridCol w:w="211"/>
        <w:gridCol w:w="736"/>
        <w:gridCol w:w="166"/>
        <w:gridCol w:w="146"/>
        <w:gridCol w:w="211"/>
        <w:gridCol w:w="736"/>
        <w:gridCol w:w="61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Long-lived asset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and 2024, we recognized $6.4 million and $2.3 million of collaboration revenue, respectively, from our research collaboration and license agreement with Novo Nordisk. In November 2025, we agreed to a 12 month pause on our collaboration with Novo Nordisk. Accordingly, we do not expect to recognize any material collaboration revenue under such agreement during the 12-month hold period.</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years ended December 31, 2025 and 2024: </w:t>
      </w:r>
    </w:p>
    <w:p>
      <w:pPr>
        <w:pStyle w:val="TextBody"/>
        <w:bidi w:val="0"/>
        <w:jc w:val="left"/>
        <w:rPr/>
      </w:pPr>
      <w:r>
        <w:rPr/>
        <w:t> </w:t>
      </w:r>
    </w:p>
    <w:tbl>
      <w:tblPr>
        <w:tblW w:w="8463" w:type="dxa"/>
        <w:jc w:val="left"/>
        <w:tblInd w:w="0" w:type="dxa"/>
        <w:tblLayout w:type="fixed"/>
        <w:tblCellMar>
          <w:top w:w="28" w:type="dxa"/>
          <w:left w:w="28" w:type="dxa"/>
          <w:bottom w:w="28" w:type="dxa"/>
          <w:right w:w="28" w:type="dxa"/>
        </w:tblCellMar>
      </w:tblPr>
      <w:tblGrid>
        <w:gridCol w:w="4906"/>
        <w:gridCol w:w="146"/>
        <w:gridCol w:w="211"/>
        <w:gridCol w:w="676"/>
        <w:gridCol w:w="146"/>
        <w:gridCol w:w="146"/>
        <w:gridCol w:w="211"/>
        <w:gridCol w:w="676"/>
        <w:gridCol w:w="146"/>
        <w:gridCol w:w="146"/>
        <w:gridCol w:w="211"/>
        <w:gridCol w:w="631"/>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Development candidate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KRRO-110 (AATD)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KRRO-121 (UCD)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research and pre-development candidate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Facilities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$65.6 million for the year ended December 31, 2025, compared to $63.6 million for the year ended December 31, 2024. The increase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$4.8 million increase in KRRO-121 external expenses, primarily due to exploratory and manufacturing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$2.5 million increase in personnel-related expenses, primarily due to the expansion of our clinical development function and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offset by a $3.0 million decrease in KRRO-110 external expenses, primarily due to a reduction in non clinical costs partially offset by an increase in clinical costs for the Phase 1/2a REWRITE clinical trial as it progressed during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$1.5 million decrease in other research and pre-development candidate expenses.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years ended December 31, 2025 and 2024: </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3741"/>
        <w:gridCol w:w="146"/>
        <w:gridCol w:w="211"/>
        <w:gridCol w:w="676"/>
        <w:gridCol w:w="146"/>
        <w:gridCol w:w="146"/>
        <w:gridCol w:w="211"/>
        <w:gridCol w:w="676"/>
        <w:gridCol w:w="146"/>
        <w:gridCol w:w="146"/>
        <w:gridCol w:w="211"/>
        <w:gridCol w:w="631"/>
        <w:gridCol w:w="41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$28.2 million for the year December 31, 2025, compared to $30.5 million for the year ended December 31, 2024. The decrease was primarily due to a $2.6 million decrease in professional services expenses, offset by a $1.2 million increase in personnel-related expenses, which was mainly attributable to an increase in stock-based compensation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Long-lived Asset Impairment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 non-cash impairment charges for the year ended December 31, 2025 consisted of $15.0 million and $15.9 million of impairment charges on our operating ROU asset and property and equipment, respectively. We did not incur any impairment charges for the year ended December 31, 2024.</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Restructuring </w:t>
      </w:r>
      <w:r>
        <w:rPr>
          <w:rFonts w:ascii="Times New Roman" w:hAnsi="Times New Roman"/>
          <w:b/>
          <w:color w:val="000000"/>
          <w:sz w:val="20"/>
        </w:rPr>
        <w:t>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charges for the year ended December 31, 2025 consisted of $3.6 million of employee termination benefits related to our workforce reductions in May and November 2025. During the year ended December 31, 2025, all activities related to our May 2025 workforce reduction were completed. The remaining payments related to our November 2025 workforce reduction are expected to be paid by the third quarter of 2026. We did not incur any restructuring charges for the year ended December 31, 2024.</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$5.2 million for the year ended December 31, 2025, compared to $8.5 million for the year ended December 31, 2024. The decrease of $3.3 million was primarily due to lower interest income generated from a lower cash, cash equivalent and marketable securities balance in 2025 compared to 2024.</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generated recurring net losses. We have not yet commercialized any products and we do not expect to generate revenue from sales of any products for several years, if at all. Since inception, we have funded our operations primarily through proceeds from the issuance of convertible preferred stock and common stock. To date, we have raised approximately $223.6 million of aggregate gross proceeds from the sale of convertible preferred stock, $117.3 million from the sale of shares of common stock issued in a private placement that closed immediately prior to the November 2023 business combination, $70.0 million from the April 2024 private placement of shares of our common stock, $5.1 million from the January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2026 sales under our at-the-market offering program, and $85.0 million from the March 2026 private placement. As of December 31, 2025, we had cash, cash equivalents and marketable securities of $85.2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and, as of December 31, 2025, had an accumulated deficit of $383.8 million. We expect to continue to incur significant expenses, operating losses, and negative operating cash flows for the foreseeable future. In addition, we have not yet commercialized any product and we do not expect to generate revenue from sales of any products for several years,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entered into a sales agreement with TD Securities (USA) LLC, or TD Cowen, under which we may, from time to time, issue and sell shares of our common stock having aggregate sales proceeds of up to $100.0 million, in a series of one or more at-the-market equity offerings. As of December 31, 2025, we had not sold any shares of common stock under our at-the-market equity offering program. In January 2026, we issued 501,861 shares of common stock under the at-the-market offering program for gross proceeds of $5.1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cash, cash equivalents and marketable securities of $85.2 million. We expect that our cash, cash equivalents and marketable securities outstanding as of December 31, 2025, together with the net proceeds raised under the January at-the-market offering program sales and March 2026 private placement, will be sufficient to fund our operating expenses and capital expenditure requirements into the second half of 2028. We have based this estimate on assumptions that may prove to be wrong, and we could expend our capital resources sooner than we expect. We may also pursue additional cash resources through public or private equity, collaborations or debt financings. There is no assurance that we will be successful in obtaining sufficient financing on acceptable terms to continue funding our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operating losses, and negative operating cash flows for the foreseeable future as we continue our novel genetic medicine discovery efforts, advance our pipeline candidates into the clinic and through clinical trials, seek regulatory approval of our development candidates and pursue commercialization of any approved development candidates. In addition, we expect to continue to incur costs associated with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our development candidates, we are unable to estimate the exact amount of our working capital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discovery, preclinical development, laboratory testing, manufacturing and clinical trials for KRRO-121 and other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continuing to build our OPERA platform and discover additional novel genetic medicines;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partner our programs, acquire or in-license other lead candidates, development candidates and technologies or enter into additional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meeting regulatory requirements established by the FDA, EMA and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that we are required to make or eligible to receive under any future collaboration and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headcount growth and associated costs, should we expand 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expanding, maintaining and enforcing our intellectual property portfolio, including filing, prosecuting, defending and enforcing our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defending potential intellectual property disputes, including patent infringement actions brought by third parties against us or any of our lead candidates or development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development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development candidates or grant licenses on terms that may not be favorable to us and/or may reduce the value of our common shares. If we are unable to raise additional funds through equity or debt financings when needed, we may be required to delay, limit, reduce or terminate our product research and development or grant rights to develop and market our development candidates even if we would otherwise prefer to develop and market such development candidates ourselves.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Years Ended December 31, 2025 and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years ended December 31, 2025 and 2024: </w:t>
      </w:r>
    </w:p>
    <w:p>
      <w:pPr>
        <w:pStyle w:val="TextBody"/>
        <w:bidi w:val="0"/>
        <w:jc w:val="left"/>
        <w:rPr/>
      </w:pPr>
      <w:r>
        <w:rPr/>
        <w:t> </w:t>
      </w:r>
    </w:p>
    <w:tbl>
      <w:tblPr>
        <w:tblW w:w="7409"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84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$78.6 million for the year ended December 31, 2025, primarily resulted from our net loss of $117.3 million, which was primarily attributable to our research and development activities and our general and administrative expenses, along with changes in our operating assets and liabilities of $4.4 million, offset by $43.1 million of non-cash items, primarily the $30.9 million impairment of long-lived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$60.1 million for the year ended December 31, 2024, primarily resulted from our net loss of $83.6 million, which was primarily attributable to our research and development activities and our general and administrative expenses, along with changes in our operating assets and liabilities of $13.6 million, offset by $9.9 million of non-cash items. </w:t>
      </w:r>
    </w:p>
    <w:p>
      <w:pPr>
        <w:pStyle w:val="TextBody"/>
        <w:bidi w:val="0"/>
        <w:spacing w:before="120" w:after="283"/>
        <w:jc w:val="left"/>
        <w:rPr>
          <w:rFonts w:ascii="Times New Roman" w:hAnsi="Times New Roman"/>
          <w:sz w:val="20"/>
        </w:rPr>
      </w:pPr>
      <w:r>
        <w:rPr>
          <w:rFonts w:ascii="Times New Roman" w:hAnsi="Times New Roman"/>
          <w:i/>
          <w:color w:val="000000"/>
          <w:sz w:val="20"/>
        </w:rPr>
        <w:t>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$44.0 million for the year ended December 31, 2025 and consisted primarily of the proceeds from maturities of marketable securities, offset by purchase of marketable securities and the purchase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$123.3 million for the year ended December 31, 2024 and consisted primarily of the purchase of marketable securities and the purchase of property and equipment, offset by proceeds from maturities of marketable securities.</w:t>
      </w:r>
    </w:p>
    <w:p>
      <w:pPr>
        <w:pStyle w:val="TextBody"/>
        <w:bidi w:val="0"/>
        <w:spacing w:before="120" w:after="283"/>
        <w:jc w:val="left"/>
        <w:rPr>
          <w:rFonts w:ascii="Times New Roman" w:hAnsi="Times New Roman"/>
          <w:sz w:val="20"/>
        </w:rPr>
      </w:pPr>
      <w:r>
        <w:rPr>
          <w:rFonts w:ascii="Times New Roman" w:hAnsi="Times New Roman"/>
          <w:i/>
          <w:color w:val="000000"/>
          <w:sz w:val="20"/>
        </w:rPr>
        <w:t>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$0.7 million for the year ended December 31, 2025 and consisted of proceeds from exercises of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$69.4 million for the year ended December 31, 2024 and consisted of net proceeds from the April 2024 private placement and proceeds from exercises of stock options.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have been prepared in accordance with generally accepted accounting principles in the United States, or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 in light of changes in circumstances, facts, and experience. The effects of material revisions in estimates, if any, will be reflected in the consolidated financial statements prospectively from the date of change in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our significant accounting policies are described in more detail in Note 2 to our audited consolidated financial statements appearing elsewhere in this Annual Report on Form 10-K, we believe that the following accounting policy is most critical to the judgments and estimates used in the preparation of our consolidated financial statements.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periodically evaluate long-lived assets for impairment when changes in circumstances or the occurrence of certain events indicate the carrying amount of an asset or asset group may not be recoverable. Identifying and assessing whether impairment indicators exist, or if events or changes in circumstances have occurred, including an adverse change in legal factors or in the business climate that could affect the value of the long-lived asset (group); an adverse change in the extent or manner in which the long-lived asset (group) is used or is expected to be used, or in its physical condition; and current or forecasted operating or cash flow losses that demonstrate continuing losses associated with the use of the long-lived asset (group), requires judgment. Additionally, grouping assets requires judgment. Changes in judgment used could materially affect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determined that indicators of impairment existed during the fourth quarter of 2025 and, as a result, reviewed our long-lived assets for impairment. We assessed the recoverability of our single enterprise-wide asset group and determined that the assets were not fully recoverable when compared to the future undiscounted cash flows from the asset group. As a result, we estimated the fair value of the asset group which resulted in a non-cash, long-lived asset impairment charge of $30.9 million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3 to our audited consolidated financial statements included in this Annual Report on Form 10-K for further discussion of our impairment analysis.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contractual obligations and commitments relate primarily to our operating leases and non-cancelable purchase obligations under agreements with various research and development organizations and suppliers in the ordinary course of business. See Note 13, "Commitments and Contingencies" to our audited consolidated financial statements appearing elsewhere in this Annual Report on Form 10-K.</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and recently adopted accounting pronouncements applicable to our financial position and results of operations is included in Note 2 to our audited consolidated financial statements appearing elsewhere in this Annual Report on Form 10-K.</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during such completed fiscal year and the market value of our common stock held by non-affiliates exceeds $700 million as of the prior June 30.</w:t>
      </w:r>
    </w:p>
    <w:p>
      <w:pPr>
        <w:pStyle w:val="TextBody"/>
        <w:bidi w:val="0"/>
        <w:spacing w:before="360" w:after="120"/>
        <w:jc w:val="left"/>
        <w:rPr>
          <w:rFonts w:ascii="Times New Roman" w:hAnsi="Times New Roman"/>
          <w:b/>
          <w:color w:val="000000"/>
          <w:sz w:val="20"/>
        </w:rPr>
      </w:pPr>
      <w:bookmarkStart w:id="12" w:name="item_7a"/>
      <w:bookmarkEnd w:id="12"/>
      <w:r>
        <w:rPr>
          <w:rFonts w:ascii="Times New Roman" w:hAnsi="Times New Roman"/>
          <w:b/>
          <w:color w:val="000000"/>
          <w:sz w:val="20"/>
        </w:rPr>
        <w:t>Item 7A. Quantitative and Qualitative Disclosures About Market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31, 2025, we had cash, cash equivalents and marketable securities of $85.2 million, which consist of bank deposits, money market funds and US treasury and other government-backed securities. Interest income is sensitive to changes in the general level of interest rates; however, due to the nature of these investments, an immediate 10% change in market interest rates would not have a material effect on the fair market value of our cash, cash equivalents or marketable securities.</w:t>
      </w:r>
    </w:p>
    <w:p>
      <w:pPr>
        <w:pStyle w:val="TextBody"/>
        <w:bidi w:val="0"/>
        <w:jc w:val="left"/>
        <w:rPr>
          <w:rFonts w:ascii="Times New Roman" w:hAnsi="Times New Roman"/>
          <w:color w:val="000000"/>
          <w:sz w:val="20"/>
        </w:rPr>
      </w:pPr>
      <w:r>
        <w:rPr>
          <w:rFonts w:ascii="Times New Roman" w:hAnsi="Times New Roman"/>
          <w:color w:val="000000"/>
          <w:sz w:val="20"/>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it does not have a material exposure to 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research, manufacturing and developments costs. We believe that inflations has not had a material effect on our financial statements included elsewhere in this Annual Report on Form 10-K. However, our operations may be adversely affected by inflation in the future.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3" w:name="item_8"/>
      <w:bookmarkEnd w:id="13"/>
      <w:r>
        <w:rPr>
          <w:rFonts w:ascii="Times New Roman" w:hAnsi="Times New Roman"/>
          <w:b/>
          <w:color w:val="000000"/>
          <w:sz w:val="20"/>
        </w:rPr>
        <w:t>Item 8. Financial</w:t>
      </w:r>
      <w:r>
        <w:rPr>
          <w:rFonts w:ascii="Times New Roman" w:hAnsi="Times New Roman"/>
          <w:color w:val="000000"/>
          <w:sz w:val="20"/>
        </w:rPr>
        <w:t xml:space="preserve"> </w:t>
      </w:r>
      <w:r>
        <w:rPr>
          <w:rFonts w:ascii="Times New Roman" w:hAnsi="Times New Roman"/>
          <w:b/>
          <w:color w:val="000000"/>
          <w:sz w:val="20"/>
        </w:rPr>
        <w:t>Statements and Supplementary Data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Korro Bio,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279"/>
        <w:gridCol w:w="926"/>
      </w:tblGrid>
      <w:tr>
        <w:trPr/>
        <w:tc>
          <w:tcPr>
            <w:tcW w:w="927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9279"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Page(s)</w:t>
            </w:r>
          </w:p>
        </w:tc>
      </w:tr>
      <w:tr>
        <w:trPr/>
        <w:tc>
          <w:tcPr>
            <w:tcW w:w="927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42)</w:t>
            </w:r>
          </w:p>
        </w:tc>
        <w:tc>
          <w:tcPr>
            <w:tcW w:w="92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F-111</w:t>
            </w:r>
          </w:p>
        </w:tc>
      </w:tr>
      <w:tr>
        <w:trPr/>
        <w:tc>
          <w:tcPr>
            <w:tcW w:w="927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
              <w:r>
                <w:rPr>
                  <w:rStyle w:val="InternetLink"/>
                  <w:rFonts w:ascii="Times New Roman" w:hAnsi="Times New Roman"/>
                  <w:color w:val="0000FF"/>
                  <w:sz w:val="20"/>
                  <w:u w:val="single"/>
                </w:rPr>
                <w:t>Consolidated Balance Sheets as of December 31, 2025 and 2024</w:t>
              </w:r>
            </w:hyperlink>
          </w:p>
        </w:tc>
        <w:tc>
          <w:tcPr>
            <w:tcW w:w="92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F-113</w:t>
            </w:r>
          </w:p>
        </w:tc>
      </w:tr>
      <w:tr>
        <w:trPr/>
        <w:tc>
          <w:tcPr>
            <w:tcW w:w="927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perations_comprehensive_loss">
              <w:r>
                <w:rPr>
                  <w:rStyle w:val="InternetLink"/>
                  <w:rFonts w:ascii="Times New Roman" w:hAnsi="Times New Roman"/>
                  <w:color w:val="0000FF"/>
                  <w:sz w:val="20"/>
                  <w:u w:val="single"/>
                </w:rPr>
                <w:t>Consolidated Statements of Operations and Comprehensive Loss for the Years Ended December 31, 2025 and 2024</w:t>
              </w:r>
            </w:hyperlink>
          </w:p>
        </w:tc>
        <w:tc>
          <w:tcPr>
            <w:tcW w:w="92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F-114</w:t>
            </w:r>
          </w:p>
        </w:tc>
      </w:tr>
      <w:tr>
        <w:trPr/>
        <w:tc>
          <w:tcPr>
            <w:tcW w:w="927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ock_and_stockholders_deficit">
              <w:r>
                <w:rPr>
                  <w:rStyle w:val="InternetLink"/>
                  <w:rFonts w:ascii="Times New Roman" w:hAnsi="Times New Roman"/>
                  <w:color w:val="0000FF"/>
                  <w:sz w:val="20"/>
                  <w:u w:val="single"/>
                </w:rPr>
                <w:t>Consolidated Statements of Stockholders’ Equity for the Years Ended December 31, 2025 and 2024</w:t>
              </w:r>
            </w:hyperlink>
          </w:p>
        </w:tc>
        <w:tc>
          <w:tcPr>
            <w:tcW w:w="92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F-115</w:t>
            </w:r>
          </w:p>
        </w:tc>
      </w:tr>
      <w:tr>
        <w:trPr/>
        <w:tc>
          <w:tcPr>
            <w:tcW w:w="927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ash_flow">
              <w:r>
                <w:rPr>
                  <w:rStyle w:val="InternetLink"/>
                  <w:rFonts w:ascii="Times New Roman" w:hAnsi="Times New Roman"/>
                  <w:color w:val="0000FF"/>
                  <w:sz w:val="20"/>
                  <w:u w:val="single"/>
                </w:rPr>
                <w:t>Consolidated Statements of Cash Flows for the Years Ended December 31, 2025 and 2024</w:t>
              </w:r>
            </w:hyperlink>
          </w:p>
        </w:tc>
        <w:tc>
          <w:tcPr>
            <w:tcW w:w="92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F-116</w:t>
            </w:r>
          </w:p>
        </w:tc>
      </w:tr>
      <w:tr>
        <w:trPr/>
        <w:tc>
          <w:tcPr>
            <w:tcW w:w="927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consolidated_financial_statements">
              <w:r>
                <w:rPr>
                  <w:rStyle w:val="InternetLink"/>
                  <w:rFonts w:ascii="Times New Roman" w:hAnsi="Times New Roman"/>
                  <w:color w:val="0000FF"/>
                  <w:sz w:val="20"/>
                  <w:u w:val="single"/>
                </w:rPr>
                <w:t>Notes to Consolidated Financial Statements</w:t>
              </w:r>
            </w:hyperlink>
          </w:p>
        </w:tc>
        <w:tc>
          <w:tcPr>
            <w:tcW w:w="92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F-117</w:t>
            </w:r>
          </w:p>
        </w:tc>
      </w:tr>
    </w:tbl>
    <w:p>
      <w:pPr>
        <w:pStyle w:val="TextBody"/>
        <w:bidi w:val="0"/>
        <w:spacing w:before="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report_independent_registered_public_acc"/>
      <w:bookmarkEnd w:id="14"/>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and the Board of Directors of Korro Bio,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We have audited the accompanying consolidated balance sheets of Korro Bio,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spacing w:before="200" w:after="283"/>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jc w:val="center"/>
        <w:rPr>
          <w:rFonts w:ascii="Times New Roman" w:hAnsi="Times New Roman"/>
          <w:color w:val="000000"/>
          <w:sz w:val="20"/>
        </w:rPr>
      </w:pPr>
      <w:r>
        <w:rPr>
          <w:rFonts w:ascii="Times New Roman" w:hAnsi="Times New Roman"/>
          <w:color w:val="000000"/>
          <w:sz w:val="20"/>
        </w:rPr>
        <w:t>F-111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Long-Lived Asset Impairment</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65"/>
        <w:gridCol w:w="146"/>
        <w:gridCol w:w="8594"/>
      </w:tblGrid>
      <w:tr>
        <w:trPr/>
        <w:tc>
          <w:tcPr>
            <w:tcW w:w="1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4" w:type="dxa"/>
            <w:tcBorders/>
            <w:vAlign w:val="center"/>
          </w:tcPr>
          <w:p>
            <w:pPr>
              <w:pStyle w:val="TableContents"/>
              <w:bidi w:val="0"/>
              <w:spacing w:before="0" w:after="283"/>
              <w:jc w:val="left"/>
              <w:rPr>
                <w:sz w:val="4"/>
                <w:szCs w:val="4"/>
              </w:rPr>
            </w:pPr>
            <w:r>
              <w:rPr>
                <w:sz w:val="4"/>
                <w:szCs w:val="4"/>
              </w:rPr>
            </w:r>
          </w:p>
        </w:tc>
      </w:tr>
      <w:tr>
        <w:trPr/>
        <w:tc>
          <w:tcPr>
            <w:tcW w:w="14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Description of the Matter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94"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As more fully described in Notes 2 and 3 to the consolidated financial statements, the Company determined that indicators of impairment existed during the fourth quarter of 2025 and, as a result, the Company’s long-lived assets were reviewed for impairment. The Company assessed the recoverability of their asset group and determined that the assets were not fully recoverable. The Company estimated the fair value of the asset group and recorded an impairment charge of $30.9 million that was allocated to the long-lived assets of the asset group on a pro rata basis using the relative carrying amount of those assets.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Auditing the Company’s long-lived asset impairment required a higher nature and extent of audit effort to address this matter, including the use of specialists.</w:t>
            </w:r>
          </w:p>
        </w:tc>
      </w:tr>
      <w:tr>
        <w:trPr/>
        <w:tc>
          <w:tcPr>
            <w:tcW w:w="14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test the long-lived asset impairment, our audit procedures included, among others, understanding the Company’s process to perform its impairment assessment and testing the accuracy and completeness of the underlying data used to determine the fair value and carrying value of the asset group. We involved internal valuation specialists to test the fair value measurement of the principal long-lived assets included in the asset group, including assessment of the significant assumptions therein. Further, we evaluated the Company’s disclosures related to the impairment of long-lived assets.</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/s/ Ernst &amp; Young LLP </w:t>
      </w:r>
    </w:p>
    <w:p>
      <w:pPr>
        <w:pStyle w:val="TextBody"/>
        <w:bidi w:val="0"/>
        <w:spacing w:before="24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2020.</w:t>
      </w:r>
    </w:p>
    <w:p>
      <w:pPr>
        <w:pStyle w:val="TextBody"/>
        <w:bidi w:val="0"/>
        <w:jc w:val="both"/>
        <w:rPr>
          <w:rFonts w:ascii="Times New Roman" w:hAnsi="Times New Roman"/>
          <w:color w:val="000000"/>
          <w:sz w:val="20"/>
        </w:rPr>
      </w:pPr>
      <w:r>
        <w:rPr>
          <w:rFonts w:ascii="Times New Roman" w:hAnsi="Times New Roman"/>
          <w:color w:val="000000"/>
          <w:sz w:val="20"/>
        </w:rPr>
        <w:t>Boston, Massachusetts</w:t>
      </w:r>
    </w:p>
    <w:p>
      <w:pPr>
        <w:pStyle w:val="TextBody"/>
        <w:bidi w:val="0"/>
        <w:jc w:val="both"/>
        <w:rPr>
          <w:rFonts w:ascii="Times New Roman" w:hAnsi="Times New Roman"/>
          <w:color w:val="000000"/>
          <w:sz w:val="20"/>
        </w:rPr>
      </w:pPr>
      <w:r>
        <w:rPr>
          <w:rFonts w:ascii="Times New Roman" w:hAnsi="Times New Roman"/>
          <w:color w:val="000000"/>
          <w:sz w:val="20"/>
        </w:rPr>
        <w:t>March 12, 2026</w:t>
      </w:r>
    </w:p>
    <w:p>
      <w:pPr>
        <w:pStyle w:val="TextBody"/>
        <w:bidi w:val="0"/>
        <w:jc w:val="center"/>
        <w:rPr>
          <w:rFonts w:ascii="Times New Roman" w:hAnsi="Times New Roman"/>
          <w:color w:val="000000"/>
          <w:sz w:val="20"/>
        </w:rPr>
      </w:pPr>
      <w:r>
        <w:rPr>
          <w:rFonts w:ascii="Times New Roman" w:hAnsi="Times New Roman"/>
          <w:color w:val="000000"/>
          <w:sz w:val="20"/>
        </w:rPr>
        <w:t>F-112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5" w:name="balance_sheet"/>
      <w:bookmarkEnd w:id="1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and par value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5"/>
        <w:gridCol w:w="146"/>
        <w:gridCol w:w="206"/>
        <w:gridCol w:w="793"/>
        <w:gridCol w:w="166"/>
        <w:gridCol w:w="146"/>
        <w:gridCol w:w="206"/>
        <w:gridCol w:w="793"/>
        <w:gridCol w:w="614"/>
      </w:tblGrid>
      <w:tr>
        <w:trPr/>
        <w:tc>
          <w:tcPr>
            <w:tcW w:w="7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55,643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131,532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27,710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23,836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36,959</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226,240</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65,825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at December 31, 2025 and December 31, 2024; no</w:t>
            </w:r>
            <w:r>
              <w:rPr>
                <w:rFonts w:ascii="Times New Roman" w:hAnsi="Times New Roman"/>
                <w:color w:val="000000"/>
                <w:sz w:val="20"/>
              </w:rPr>
              <w:t> </w:t>
            </w:r>
            <w:r>
              <w:rPr>
                <w:rFonts w:ascii="Times New Roman" w:hAnsi="Times New Roman"/>
                <w:color w:val="000000"/>
                <w:sz w:val="18"/>
              </w:rPr>
              <w:t>shares issued and outstanding at December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authorized at December 31, 2025 and December 31, 2024; 9,417,295</w:t>
            </w:r>
            <w:r>
              <w:rPr>
                <w:rFonts w:ascii="Times New Roman" w:hAnsi="Times New Roman"/>
                <w:color w:val="000000"/>
                <w:sz w:val="20"/>
              </w:rPr>
              <w:t> </w:t>
            </w:r>
            <w:r>
              <w:rPr>
                <w:rFonts w:ascii="Times New Roman" w:hAnsi="Times New Roman"/>
                <w:color w:val="000000"/>
                <w:sz w:val="18"/>
              </w:rPr>
              <w:t>shares and 9,377,259</w:t>
            </w:r>
            <w:r>
              <w:rPr>
                <w:rFonts w:ascii="Times New Roman" w:hAnsi="Times New Roman"/>
                <w:color w:val="000000"/>
                <w:sz w:val="20"/>
              </w:rPr>
              <w:t> </w:t>
            </w:r>
            <w:r>
              <w:rPr>
                <w:rFonts w:ascii="Times New Roman" w:hAnsi="Times New Roman"/>
                <w:color w:val="000000"/>
                <w:sz w:val="18"/>
              </w:rPr>
              <w:t>shares issued and outstanding at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426,724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(266,586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160,415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226,240</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6" w:name="statements_operations_comprehensive_loss"/>
      <w:bookmarkEnd w:id="16"/>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and per share amounts) </w:t>
      </w:r>
    </w:p>
    <w:tbl>
      <w:tblPr>
        <w:tblW w:w="9949" w:type="dxa"/>
        <w:jc w:val="left"/>
        <w:tblInd w:w="0" w:type="dxa"/>
        <w:tblLayout w:type="fixed"/>
        <w:tblCellMar>
          <w:top w:w="28" w:type="dxa"/>
          <w:left w:w="28" w:type="dxa"/>
          <w:bottom w:w="28" w:type="dxa"/>
          <w:right w:w="28" w:type="dxa"/>
        </w:tblCellMar>
      </w:tblPr>
      <w:tblGrid>
        <w:gridCol w:w="6616"/>
        <w:gridCol w:w="146"/>
        <w:gridCol w:w="211"/>
        <w:gridCol w:w="931"/>
        <w:gridCol w:w="166"/>
        <w:gridCol w:w="146"/>
        <w:gridCol w:w="211"/>
        <w:gridCol w:w="931"/>
        <w:gridCol w:w="59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Long-lived asset 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gain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8,920,561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7" w:name="stock_and_stockholders_deficit"/>
      <w:bookmarkEnd w:id="17"/>
      <w:r>
        <w:rPr>
          <w:rFonts w:ascii="Times New Roman" w:hAnsi="Times New Roman"/>
          <w:b/>
          <w:color w:val="000000"/>
          <w:sz w:val="20"/>
        </w:rPr>
        <w:t>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except share amounts) </w:t>
      </w:r>
    </w:p>
    <w:p>
      <w:pPr>
        <w:pStyle w:val="TextBody"/>
        <w:bidi w:val="0"/>
        <w:jc w:val="left"/>
        <w:rPr/>
      </w:pPr>
      <w:r>
        <w:rPr/>
        <w:t> </w:t>
      </w:r>
    </w:p>
    <w:tbl>
      <w:tblPr>
        <w:tblW w:w="8985" w:type="dxa"/>
        <w:jc w:val="left"/>
        <w:tblInd w:w="0" w:type="dxa"/>
        <w:tblLayout w:type="fixed"/>
        <w:tblCellMar>
          <w:top w:w="28" w:type="dxa"/>
          <w:left w:w="28" w:type="dxa"/>
          <w:bottom w:w="28" w:type="dxa"/>
          <w:right w:w="28" w:type="dxa"/>
        </w:tblCellMar>
      </w:tblPr>
      <w:tblGrid>
        <w:gridCol w:w="2746"/>
        <w:gridCol w:w="146"/>
        <w:gridCol w:w="146"/>
        <w:gridCol w:w="586"/>
        <w:gridCol w:w="146"/>
        <w:gridCol w:w="146"/>
        <w:gridCol w:w="170"/>
        <w:gridCol w:w="356"/>
        <w:gridCol w:w="146"/>
        <w:gridCol w:w="146"/>
        <w:gridCol w:w="166"/>
        <w:gridCol w:w="496"/>
        <w:gridCol w:w="146"/>
        <w:gridCol w:w="146"/>
        <w:gridCol w:w="296"/>
        <w:gridCol w:w="620"/>
        <w:gridCol w:w="151"/>
        <w:gridCol w:w="146"/>
        <w:gridCol w:w="186"/>
        <w:gridCol w:w="610"/>
        <w:gridCol w:w="151"/>
        <w:gridCol w:w="146"/>
        <w:gridCol w:w="186"/>
        <w:gridCol w:w="609"/>
        <w:gridCol w:w="196"/>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8,016,516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169,911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for cash in PIPE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1,249,283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(83,581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9,377,259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(266,586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160,415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9,417,295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(383,846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51,439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cash_flow"/>
      <w:bookmarkEnd w:id="1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(amounts in thousands) </w:t>
      </w:r>
    </w:p>
    <w:p>
      <w:pPr>
        <w:pStyle w:val="TextBody"/>
        <w:bidi w:val="0"/>
        <w:jc w:val="left"/>
        <w:rPr/>
      </w:pPr>
      <w:r>
        <w:rPr/>
        <w:t> </w:t>
      </w:r>
    </w:p>
    <w:tbl>
      <w:tblPr>
        <w:tblW w:w="9759" w:type="dxa"/>
        <w:jc w:val="left"/>
        <w:tblInd w:w="0" w:type="dxa"/>
        <w:tblLayout w:type="fixed"/>
        <w:tblCellMar>
          <w:top w:w="28" w:type="dxa"/>
          <w:left w:w="28" w:type="dxa"/>
          <w:bottom w:w="28" w:type="dxa"/>
          <w:right w:w="28" w:type="dxa"/>
        </w:tblCellMar>
      </w:tblPr>
      <w:tblGrid>
        <w:gridCol w:w="6586"/>
        <w:gridCol w:w="146"/>
        <w:gridCol w:w="211"/>
        <w:gridCol w:w="841"/>
        <w:gridCol w:w="166"/>
        <w:gridCol w:w="146"/>
        <w:gridCol w:w="211"/>
        <w:gridCol w:w="841"/>
        <w:gridCol w:w="61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premiums and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PIPE financing,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capitalized under tenant improvement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Korro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9" w:name="notes_consolidated_financial_statements"/>
      <w:bookmarkEnd w:id="1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 and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Korro Bio, Inc. (together with its subsidiaries, the “Company”) is a biopharmaceutical company with a mission to discover, develop and commercialize a new class of genetic medicines based on editing RNA, enabling the treatment of both rare and highly prevalent diseases. The Company was incorporated in November 2014 as a Delaware corporation and in November 2023 completed a reverse merger through a now wholly-owned subsidiary and changed its name from Frequency Therapeutics, Inc. (“Frequency”) to Korro Bio, Inc. The Company's principal offices are in Cambridge, Massachusetts.</w:t>
      </w:r>
    </w:p>
    <w:p>
      <w:pPr>
        <w:pStyle w:val="TextBody"/>
        <w:bidi w:val="0"/>
        <w:spacing w:before="12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Lead candidates and development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compliance-reporting capabilities. Even if the Company’s product development efforts are successful, it is uncertain when, if ever, the Company will realize revenue from product sales.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the Company continuing as a going concern. The Company expects that its existing cash, cash equivalents and marketable securities will enable the Company to fund its planned operating expense and capital expenditure requirements for at least 12 months from the date of issuance of these consolidated financial statements. The Company has incurred recurring losses and negative cash flows from operations since inception. As of December 31, 2025, the Company had an accumulated deficit of $383.8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product revenues or achieve profitability, or if achieved, that the revenues or profitability will be sustained on a continuing basis. In addition, the Company’s preclinical and clinical development activities, manufacturing and commercialization of the Company’s development candidates, if approved, will require significant additional financing. However, if the Company is unable to obtain additional financing, the Company would be forced to delay, reduce or eliminate its research and development programs and/or relinquish valuable rights to its technology, lead candidates and development candidates. There is no assurance that the Company will be successful in obtaining sufficient financing on acceptable terms to continue funding its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 and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generally accepted accounting principles in the United States of America (“GAAP”). These consolidated financial statements have been prepared on the going concern basis of accounting, which assumes continuity of operations, realization of assets and satisfaction of liabilities in the ordinary course of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Korro Bio, Inc. and its wholly-owned subsidiaries. All intercompany transactions and balances have been eliminated in consolidation.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impairment of long-lived assets and stock-based compensation expense.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pStyle w:val="TextBody"/>
        <w:bidi w:val="0"/>
        <w:jc w:val="center"/>
        <w:rPr>
          <w:rFonts w:ascii="Times New Roman" w:hAnsi="Times New Roman"/>
          <w:color w:val="000000"/>
          <w:sz w:val="20"/>
        </w:rPr>
      </w:pPr>
      <w:r>
        <w:rPr>
          <w:rFonts w:ascii="Times New Roman" w:hAnsi="Times New Roman"/>
          <w:color w:val="000000"/>
          <w:sz w:val="20"/>
        </w:rPr>
        <w:t>F-117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Translation and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the Company’s operations occur in entities that have the U.S. dollar as their functional currency. Non-U.S. dollar denominated functional currency subsidiary has assets and liabilities translated into U.S. dollars at rates of exchange in effect at the end of the year. Revenue and expense amounts are translated using the average exchange rates for the period. Net unrealized gains and losses resulting from foreign currency translation are included in “Accumulated other comprehensive income" on the Company's consolidated balance sheets. Net foreign currency exchange transaction gains or losses are included in “Other income, net” on the Company’s consolidated statement of operations, the impact of which is not significant.</w:t>
      </w:r>
    </w:p>
    <w:p>
      <w:pPr>
        <w:pStyle w:val="TextBody"/>
        <w:bidi w:val="0"/>
        <w:spacing w:before="360" w:after="283"/>
        <w:jc w:val="left"/>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are highly-liquid investments that are readily convertible into cash with original maturities of three months or less when purchased. These assets include investments in money market funds that invest in U.S. Treasury obligations. Cash equivalents are reflected at fair value based on quoted market prices, as further described in Note 3, “Fair Value Measurements”.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Topic 820, </w:t>
      </w:r>
      <w:r>
        <w:rPr>
          <w:rFonts w:ascii="Times New Roman" w:hAnsi="Times New Roman"/>
          <w:i/>
          <w:color w:val="000000"/>
          <w:sz w:val="20"/>
        </w:rPr>
        <w:t>Fair Value Measurement</w:t>
      </w:r>
      <w:r>
        <w:rPr>
          <w:rFonts w:ascii="Times New Roman" w:hAnsi="Times New Roman"/>
          <w:color w:val="000000"/>
          <w:sz w:val="20"/>
        </w:rPr>
        <w:t xml:space="preserve">, (“ASC 820”) establishes a fair value hierarchy for an asset or liability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inputs are quoted prices (unadjusted)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inputs are inputs other than quoted prices included within Level 1 that are observable for the asset or liability,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inputs are unobservable inputs that reflect the Company’s own assumptions about the assumptions market participants would use in pricing the asset or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hierarchy is based upon the transparency of inputs to the valuation of an asset or liability as of the measurement date. The classification of fair value measurements within the hierarchy is based upon the lowest level of input that is significant to the measurement. See Note 3 for further discussion of fair value measurements.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consist of securities with original maturities greater than three months when purchased. Short-term investments consist of investments that are available for use in current operations. Long-term investments consist of investments with maturities of greater than one year that are not available for use in current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all of its investments as available-for-sale securities. Accordingly, these investments are recorded at fair value. Realized gains and losses and amortization and accretion of discounts and premiums are included in “Other income, net”. Unrealized gains and losses on available-for-sale securities are included in “Accumulated other comprehensive loss” as a component of stockholders’ deficit until realized.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its investment portfolio to identify and evaluate investments that have indicators of possible other-than-temporary impairment. Factors considered in determining whether a loss is other-than-temporary include the length of time and extent to which fair value has been less than the cost basis, the financial condition of the issuer and the Company’s intent and ability to hold the investment for a period of time sufficient to allow for any anticipated recovery in market value. Credit losses are identified when the Company does not expect to receive cash flows sufficient to recover the amortized cost basis of a security. In the event of a credit loss, only the amount associated with the credit loss is recognized in operating results, with the amount of loss relating to other factors recorded in accumulated other comprehensive income.</w:t>
      </w:r>
    </w:p>
    <w:p>
      <w:pPr>
        <w:pStyle w:val="TextBody"/>
        <w:bidi w:val="0"/>
        <w:jc w:val="center"/>
        <w:rPr>
          <w:rFonts w:ascii="Times New Roman" w:hAnsi="Times New Roman"/>
          <w:color w:val="000000"/>
          <w:sz w:val="20"/>
        </w:rPr>
      </w:pPr>
      <w:r>
        <w:rPr>
          <w:rFonts w:ascii="Times New Roman" w:hAnsi="Times New Roman"/>
          <w:color w:val="000000"/>
          <w:sz w:val="20"/>
        </w:rPr>
        <w:t>F-118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accounts receivable is comprised of amounts due related to its collaboration agreement with Novo Nordisk (see Note 12).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recorded at cost and consists of laboratory equipment, furniture and office equipment, computer equipment, leasehold improvements, and construction in progress. The Company capitalizes property and equipment that is acquired for research and development activities and that has alternative future use. Expenditures for repairs and maintenance are recorded to expense as incurred, whereas major betterments are capitalized as additions to property and equipment. Property and equipment not yet placed into service is capitalized as construction in progress and is depreciated once placed into service. Leasehold improvements are depreciated over the lesser of their useful lives or the term of the lease. Depreciation, including depreciation for assets recorded under finance leases, is calculated over the estimated useful lives of the assets using the straight-line method.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periodically evaluates long-lived assets for impairment when changes in circumstances or the occurrence of certain events indicate the carrying amount of an asset or asset group may not be recoverable. If any impairment indicators are present, or if other circumstances indicate that an impairment might exist, the Company performs a recoverability test, to determine whether an impairment loss should be measured. The Company groups long-lived assets and liabilities at the lowest level for which there are identifiable cash flows that are largely independent of the cash flows of the other assets and liabilities and estimates the future net undiscounted cash flows expected to be generated from the use of the long-lived asset (group) and its eventual disposal. If the undiscounted cash flows used in the recoverability test are less than the carrying amount of the long-lived asset (group), the Company is required to determine the fair value of the long-lived asset (group) and recognize an impairment loss if the carrying amount of the long-lived asset (group) exceeds its fair value. Fair value is estimated as the price that would be received to sell an asset or paid to transfer a liability in an orderly transaction between market participants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assessing whether impairment indicators exist, or if events or changes in circumstances have occurred, including an adverse change in legal factors or in the business climate that could affect the value of the long-lived asset (group); an adverse change in the extent or manner in which the long-lived asset (group) is used or is expected to be used, or in its physical condition; and current or forecasted operating or cash flow losses that demonstrate continuing losses associated with the use of the long-lived asset (group), requires judgment. Additionally, grouping assets requires judgment.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Company announced that its first-generation alpha-1 antitrypsin deficiency (“AATD”) program, KRRO-110, its proprietary RNA editing oligonucleotide with a liquid nano particle delivery system, did not reach projected levels of functional protein following a single administration. The Company pivoted to GalNAc delivery for AATD and terminated its REWRITE clinical program investigating KRRO-110 as a treatment for AATD. In connection with the November 2025 announcement regarding KRRO-110, the Company further implemented a strategic restructuring to reserve resources and extend cash runway, including a reduction in its workforce. Additionally, in November 2025, the Company announced that the Company and Novo Nordisk A/S (“Novo Nordisk”) entered into an amendment to the research collaboration and license agreement under which the Company and Novo Nordisk agreed to pause the research collaboration and license agreement for 12 months. Following these announcements, the Company determined that indicators of impairment existed during the fourth quarter of 2025 and, as a result, the Company's long-lived assets were reviewed for impairment. The Company assessed the recoverability of its single enterprise-wide asset group and determined that the assets were not fully recoverable when compared to the future undiscounted cash flows from the asset group. As a result, the Company estimated the fair value of the asset group, which resulted in a non-cash, long-lived asset impairment charge of $30.9 million in 2025. The $30.9 million consists of $15.0 million and $15.9 million of impairment charges on the Company's operating right-of-use (“ROU”) asset and property and equipment, respectively. See Note 3 for further discussion of the impairment analysis.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ASC Topic 842, </w:t>
      </w:r>
      <w:r>
        <w:rPr>
          <w:rFonts w:ascii="Times New Roman" w:hAnsi="Times New Roman"/>
          <w:i/>
          <w:color w:val="000000"/>
          <w:sz w:val="20"/>
        </w:rPr>
        <w:t>Leases</w:t>
      </w:r>
      <w:r>
        <w:rPr>
          <w:rFonts w:ascii="Times New Roman" w:hAnsi="Times New Roman"/>
          <w:color w:val="000000"/>
          <w:sz w:val="20"/>
        </w:rPr>
        <w:t xml:space="preserve"> (“ASC 842”), the Company determines whether an arrangement is or contains a lease at inception. For leases with a term of 12 months or less, the Company does not recognize a right-of-use asset or lease liability. The Company’s operating leases are recognized on its consolidated balance sheets as noncurrent assets, current liabilities and noncurrent liabilities. The Company does not have any finance leases.</w:t>
      </w:r>
    </w:p>
    <w:p>
      <w:pPr>
        <w:pStyle w:val="TextBody"/>
        <w:bidi w:val="0"/>
        <w:jc w:val="center"/>
        <w:rPr>
          <w:rFonts w:ascii="Times New Roman" w:hAnsi="Times New Roman"/>
          <w:color w:val="000000"/>
          <w:sz w:val="20"/>
        </w:rPr>
      </w:pPr>
      <w:r>
        <w:rPr>
          <w:rFonts w:ascii="Times New Roman" w:hAnsi="Times New Roman"/>
          <w:color w:val="000000"/>
          <w:sz w:val="20"/>
        </w:rPr>
        <w:t>F-119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 Lease expense is recognized on a straight-line basis over the lease term. The Company typically only includes an initial lease term in its assessment of a lease arrangement. Options to renew or options to terminate a lease are not included in the Company’s assessment unless there is reasonable certainty that the Company will exercise such options,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elected to account for the lease and non-lease components together for existing classes of underlying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applies the guidance of ASC Topic 480, Distinguishing Liabilities from Equity (“ASC 480”), when determining the classification and measurement of its preferred stock. Preferred stock subject to mandatory redemption (if any) are classified as liability instruments and are measured at fair value. The Company classifies contingently redeemable preferred stock (if any), which includes preferred stock that features redemption rights that are either within the control of the holder or subject to redemption upon the occurrence of uncertain events not solely within the Company’s control, as temporary equity. At all other times, the Company classifies its preferred stock in stockholders’ equity.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 and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contracts with customers in accordance with ASC Topic 606, Revenue from Contracts with Customers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pStyle w:val="TextBody"/>
        <w:bidi w:val="0"/>
        <w:jc w:val="center"/>
        <w:rPr>
          <w:rFonts w:ascii="Times New Roman" w:hAnsi="Times New Roman"/>
          <w:color w:val="000000"/>
          <w:sz w:val="20"/>
        </w:rPr>
      </w:pPr>
      <w:r>
        <w:rPr>
          <w:rFonts w:ascii="Times New Roman" w:hAnsi="Times New Roman"/>
          <w:color w:val="000000"/>
          <w:sz w:val="20"/>
        </w:rPr>
        <w:t>F-120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Licenses of intellectual property, or IP: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Company generally recognizes revenue using the cost incurred to date as compared to the total estimated cost.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Milestone payments: At the inception of each arrangement that includes development or regulatory milestone payments, the Company evaluates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consideration included in the transaction price is constrained.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milestone payments and royalties: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no remaining performance obligations are required of the Company, or following the completion of the performance obligation period, such amounts are recognized as revenue upon transfer of control of the goods or services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Consideration received prior to revenue recognition is recorded as deferred revenue in the consolidated balance sheets.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if the Company transfers goods or services to a customer before the customer pays consideration and the Company’s right to consideration is unconditional.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relating to research and development are expensed as incurred. Research and development expenses include external expenses incurred under arrangements with third parties, such as contract research organizations, academic and non-profit institutions and consultants; salaries and personnel-related costs, including non-cash stock-based compensation expense; license fees to acquire in-process technology and other expenses, which include direct and allocated expenses for laboratory, facilities and other costs.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process of preparing the consolidated financial statements, the Company is required to estimate its accrued research and development expenses as of each balance sheet date. In accruing service fees, the Company estimates the time period over which services will be performed and the level of effort to be expended in each period. This process involves reviewing open contracts and purchase orders, communicating with internal personnel and vendors to identify services that have been performed on the Company’s behalf and estimating the level of service performed and the associated cost incurred for the service when the Company has not yet been invoiced or otherwise notified of the actual cost. The Company periodically confirms the accuracy of its estimates with its service providers and makes adjustments if necessary. The majority of the Company’s service providers invoice monthly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the Company records a prepaid expense.</w:t>
      </w:r>
    </w:p>
    <w:p>
      <w:pPr>
        <w:pStyle w:val="TextBody"/>
        <w:bidi w:val="0"/>
        <w:jc w:val="center"/>
        <w:rPr>
          <w:rFonts w:ascii="Times New Roman" w:hAnsi="Times New Roman"/>
          <w:color w:val="000000"/>
          <w:sz w:val="20"/>
        </w:rPr>
      </w:pPr>
      <w:r>
        <w:rPr>
          <w:rFonts w:ascii="Times New Roman" w:hAnsi="Times New Roman"/>
          <w:color w:val="000000"/>
          <w:sz w:val="20"/>
        </w:rPr>
        <w:t>F-121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expenses legal costs related to patent applications as they are incurred. Such costs are classified as general and administrative expenses within the consolidated statements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payments in accordance with ASC Topic 718, </w:t>
      </w:r>
      <w:r>
        <w:rPr>
          <w:rFonts w:ascii="Times New Roman" w:hAnsi="Times New Roman"/>
          <w:i/>
          <w:color w:val="000000"/>
          <w:sz w:val="20"/>
        </w:rPr>
        <w:t xml:space="preserve">Compensation—Stock Compensation </w:t>
      </w:r>
      <w:r>
        <w:rPr>
          <w:rFonts w:ascii="Times New Roman" w:hAnsi="Times New Roman"/>
          <w:color w:val="000000"/>
          <w:sz w:val="20"/>
        </w:rPr>
        <w:t xml:space="preserve">(“ASC 718”). This guidance requires all stock-based payments, including grants of stock options and restricted common stock, to be recognized as expense in the consolidated statements of operations and comprehensive loss based on their grant date fair values. For stock options granted to employees, non-employees and members of the Company’s Board of Directors for their services on the Board of Directors, the Company estimates the grant date fair value of each stock option using the Black-Scholes option-pricing model. For restricted common stock granted to employees and non-employees, the Company estimates the grant date fair value of each award using the intrinsic value, which is based on the value of the underlying common stock less any purchase price. For stock-based payments subject to service-based vesting conditions, the Company recognizes stock-based compensation expense equal to the grant date fair value of stock-based payment on a straight-line basis over the requisite service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grant date fair value of the Company’s common stock, the Black-Scholes option pricing model requires the input of certain subjective assumptions, including (i) the calculation of expected term of the stock-based payment, (ii) the risk-free interest rate, (iii) the expected stock price volatility and (iv) the expected dividend yield. The Company uses the simplified method as proscribed by SEC Staff Accounting Bulletin No. 107 to calculate the expected term for stock options granted to employees as the Company does not have sufficient historical exercise data to provide a reasonable basis upon which to estimate the expected term. The Company determines the risk-free interest rate based on a treasury instrument whose term is consistent with the expected term of the stock options. Due to the lack of Company-specific historical and implied volatility data, the Company bases its estimates of expected volatility on the historical volatility of a group of publicly-traded companies with similar characteristics to itself, including stage of product development and therapeutic focus within the life sciences industry. The expected volatility has been determined using a weighted-average of the historical volatility measures of this group of companies. The Company expects to continue to do so until such time as it has adequate historical data regarding the volatility of its own traded stock price. Historical volatility is calculated over a period of time commensurate with the expected term of the stock-based payment. The Company uses an assumed dividend yield of zero as the Company has never paid dividends on its common stock, nor does it expect to pay dividends on its common stock in the foreseeable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forfeitures of all stock-based payments when such forfeitures occur.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Income taxes are recorded in accordance with ASC Topic 740, </w:t>
      </w:r>
      <w:r>
        <w:rPr>
          <w:rFonts w:ascii="Times New Roman" w:hAnsi="Times New Roman"/>
          <w:i/>
          <w:color w:val="000000"/>
          <w:sz w:val="20"/>
        </w:rPr>
        <w:t>Income Taxes</w:t>
      </w:r>
      <w:r>
        <w:rPr>
          <w:rFonts w:ascii="Times New Roman" w:hAnsi="Times New Roman"/>
          <w:color w:val="000000"/>
          <w:sz w:val="20"/>
        </w:rPr>
        <w:t xml:space="preserve">,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 valuation allowance against deferred tax assets is recorded if, based on the weight of the available evidence, it is more likely than not that some or all of the deferred tax assets will not be realized.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penalty charges, if any, related to income taxes would be classified as a component of the “Provision for income taxes” in the consolidated statements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loss per share attributable to common stockholders is calculated using the two-class method, which is an earnings allocation formula that determines net loss per share for the holders of the Company’s common shares and participating securities. The Company’s Preferred Stock contains participation rights in any dividend paid by the Company and is deemed to be a participating security. Net income attributable to common stockholders and participating preferred shares are allocated to each share as if all of the earnings for the period had been distributed. The participating securities do not include a contractual </w:t>
      </w:r>
    </w:p>
    <w:p>
      <w:pPr>
        <w:pStyle w:val="TextBody"/>
        <w:bidi w:val="0"/>
        <w:jc w:val="center"/>
        <w:rPr>
          <w:rFonts w:ascii="Times New Roman" w:hAnsi="Times New Roman"/>
          <w:color w:val="000000"/>
          <w:sz w:val="20"/>
        </w:rPr>
      </w:pPr>
      <w:r>
        <w:rPr>
          <w:rFonts w:ascii="Times New Roman" w:hAnsi="Times New Roman"/>
          <w:color w:val="000000"/>
          <w:sz w:val="20"/>
        </w:rPr>
        <w:t>F-122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 to share in losses of the Company and are not included in the calculation of net loss per share in the periods in which a net loss is recorded. Net loss attributable to common stockholders is equal to the net loss for the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net loss per share is computed using the more dilutive of (a) the two-class method or (b) the treasury stock method and if-converted method. The Company allocates earnings first to preferred stockholders based on dividend rights and then to common and preferred stockholders based on ownership interests. The weighted-average number of common shares included in the computation of diluted net loss gives effect to all potentially dilutive common equivalent shares, including outstanding stock options and Preferred Stock. 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 and Off-Balance Sheet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expose the Company to concentrations of credit risk primarily consist of cash, cash equivalents and investments. Cash balances are deposited with federally-insured financial institutions in the United States and may, at times, exceed federally-insured limits. The Company maintains its cash, cash equivalents and investments with high-quality financial institutions and, consequently, the Company believes that such funds are subject to minimal credit risk. The Company’s cash equivalents are comprised of money market funds that are invested in U.S. Treasury and government agency obligations. The Company’s investments are comprised of government securities. Credit risk in these securities is reduced as a result of the Company’s investment policy to limit the amount invested in any single issuer and to only invest in securities of a high credit quality.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relies, and expects to continue to rely, on a small number of vendors to manufacture supplies and to process its lead candidates and development candidates for its development programs. These programs could be adversely affected by a significant interruption in the manufacturing process or supply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 significant off-balance sheet risk such as foreign exchange contracts, option contracts or other foreign hedging arrangements.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and 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or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ASU 2023-09, Improvements to Income Tax Disclosures</w:t>
      </w:r>
      <w:r>
        <w:rPr>
          <w:rFonts w:ascii="Times New Roman" w:hAnsi="Times New Roman"/>
          <w:color w:val="000000"/>
          <w:sz w:val="20"/>
        </w:rPr>
        <w:t xml:space="preserve">, which requires entities to disclose disaggregated information about their effective tax rate reconciliation and income taxes paid. The disclosure requirements will be applied on a prospective basis, with the option to apply them retrospectively. The Company adopted </w:t>
      </w:r>
      <w:r>
        <w:rPr>
          <w:rFonts w:ascii="Times New Roman" w:hAnsi="Times New Roman"/>
          <w:i/>
          <w:color w:val="000000"/>
          <w:sz w:val="20"/>
        </w:rPr>
        <w:t>ASU 2023-09</w:t>
      </w:r>
      <w:r>
        <w:rPr>
          <w:rFonts w:ascii="Times New Roman" w:hAnsi="Times New Roman"/>
          <w:color w:val="000000"/>
          <w:sz w:val="20"/>
        </w:rPr>
        <w:t xml:space="preserve"> retrospectively for the year ended December 31, 2025, and it did not have a material impact on the Company's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 Income Statement-Reporting Comprehensive Income- Expense Disaggregation Disclosures</w:t>
      </w:r>
      <w:r>
        <w:rPr>
          <w:rFonts w:ascii="Times New Roman" w:hAnsi="Times New Roman"/>
          <w:color w:val="000000"/>
          <w:sz w:val="20"/>
        </w:rPr>
        <w:t>,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Recurring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the fair value of money market funds based on quoted prices in active markets for identical securities. Marketable securities include U.S. treasury bills and U.S. government agency securities that are valued either based on recent trades of securities in inactive markets or based on quoted market prices of similar instruments and other significant inputs derived from or corroborated by observable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reflected in the consolidated balance sheets for cash, prepaid expenses and other current assets, accounts payable and accrued expenses approximate their fair values, due to their short-term nature.</w:t>
      </w:r>
    </w:p>
    <w:p>
      <w:pPr>
        <w:pStyle w:val="TextBody"/>
        <w:bidi w:val="0"/>
        <w:jc w:val="center"/>
        <w:rPr>
          <w:rFonts w:ascii="Times New Roman" w:hAnsi="Times New Roman"/>
          <w:color w:val="000000"/>
          <w:sz w:val="20"/>
        </w:rPr>
      </w:pPr>
      <w:r>
        <w:rPr>
          <w:rFonts w:ascii="Times New Roman" w:hAnsi="Times New Roman"/>
          <w:color w:val="000000"/>
          <w:sz w:val="20"/>
        </w:rPr>
        <w:t>F-123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on a recurring basis as of December 31, 2025 were as follows (in thousands): </w:t>
      </w:r>
    </w:p>
    <w:p>
      <w:pPr>
        <w:pStyle w:val="TextBody"/>
        <w:bidi w:val="0"/>
        <w:jc w:val="left"/>
        <w:rPr/>
      </w:pPr>
      <w:r>
        <w:rPr/>
        <w:t> </w:t>
      </w:r>
    </w:p>
    <w:tbl>
      <w:tblPr>
        <w:tblW w:w="8543"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67"/>
        <w:gridCol w:w="858"/>
        <w:gridCol w:w="146"/>
        <w:gridCol w:w="146"/>
        <w:gridCol w:w="221"/>
        <w:gridCol w:w="710"/>
        <w:gridCol w:w="146"/>
        <w:gridCol w:w="146"/>
        <w:gridCol w:w="295"/>
        <w:gridCol w:w="80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APA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on a recurring basis as of December 31, 2024 were as follows (in thousands): </w:t>
      </w:r>
    </w:p>
    <w:tbl>
      <w:tblPr>
        <w:tblW w:w="8709"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67"/>
        <w:gridCol w:w="858"/>
        <w:gridCol w:w="146"/>
        <w:gridCol w:w="146"/>
        <w:gridCol w:w="211"/>
        <w:gridCol w:w="781"/>
        <w:gridCol w:w="146"/>
        <w:gridCol w:w="146"/>
        <w:gridCol w:w="295"/>
        <w:gridCol w:w="80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APA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CVR liability and the MS APA are based on significant unobservable inputs, which represent Level 3 measurements within the fair value hierarchy. In determining the fair value of the CVR liability and the MS APA asset, the Company used the income approach, primarily discounted cash flow models. The discounted cash flow models require the use of significant judgment, estimates and assumptions, including the probability of technical and regulatory success, and discount rates. For the year ended December 31, 2025, the aggregate change in fair value of the CVR liability and MS APA asset was $0.1 million. For the year ended December 31, 2024, the aggregate change in fair value of the CVR liability and MS APA asset was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valuation techniques, nor were there any transfers among the fair value hierarchy levels during the years ended December 31, 2025 or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indicators of impairment existed during the fourth quarter of 2025 and, as a result, the Company's long-lived assets were reviewed for impairment. The Company assessed the recoverability of its single enterprise-wide asset group and determined that the assets were not fully recoverable when compared to the future undiscounted cash flows from the asset group. As a result, the Company estimated the fair value of the asset group which resulted in a non-cash, long-lived </w:t>
      </w:r>
    </w:p>
    <w:p>
      <w:pPr>
        <w:pStyle w:val="TextBody"/>
        <w:bidi w:val="0"/>
        <w:jc w:val="center"/>
        <w:rPr>
          <w:rFonts w:ascii="Times New Roman" w:hAnsi="Times New Roman"/>
          <w:color w:val="000000"/>
          <w:sz w:val="20"/>
        </w:rPr>
      </w:pPr>
      <w:r>
        <w:rPr>
          <w:rFonts w:ascii="Times New Roman" w:hAnsi="Times New Roman"/>
          <w:color w:val="000000"/>
          <w:sz w:val="20"/>
        </w:rPr>
        <w:t>F-124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 impairment charge of $30.9 million in 2025. The asset impairment charge was recorded as Long-lived asset impairment charge in the consolidated statement of operations and comprehensive loss for the year ended December 31, 2025. The $30.9 million consists of $15.0 million and $15.9 million of impairment charges on the Company's operating ROU asset and property and equipment, respectively. The impairment charge was allocated to the long-lived assets of the asset group on a pro rata basis using the relative carrying amount of those assets. The fair value of the single enterprise-wide asset group was calculated using the Company’s market capitalization at the date the impairment indicators were identified using Level 1 inputs.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Marketable Securities as of December 31, 2025 were comprised as follows (in thousands): </w:t>
      </w:r>
    </w:p>
    <w:p>
      <w:pPr>
        <w:pStyle w:val="TextBody"/>
        <w:bidi w:val="0"/>
        <w:spacing w:before="120" w:after="283"/>
        <w:jc w:val="left"/>
        <w:rPr/>
      </w:pPr>
      <w:r>
        <w:rPr/>
        <w:t> </w:t>
      </w:r>
    </w:p>
    <w:tbl>
      <w:tblPr>
        <w:tblW w:w="9982" w:type="dxa"/>
        <w:jc w:val="left"/>
        <w:tblInd w:w="0" w:type="dxa"/>
        <w:tblLayout w:type="fixed"/>
        <w:tblCellMar>
          <w:top w:w="28" w:type="dxa"/>
          <w:left w:w="28" w:type="dxa"/>
          <w:bottom w:w="28" w:type="dxa"/>
          <w:right w:w="28" w:type="dxa"/>
        </w:tblCellMar>
      </w:tblPr>
      <w:tblGrid>
        <w:gridCol w:w="3091"/>
        <w:gridCol w:w="146"/>
        <w:gridCol w:w="1786"/>
        <w:gridCol w:w="146"/>
        <w:gridCol w:w="211"/>
        <w:gridCol w:w="676"/>
        <w:gridCol w:w="146"/>
        <w:gridCol w:w="146"/>
        <w:gridCol w:w="295"/>
        <w:gridCol w:w="591"/>
        <w:gridCol w:w="146"/>
        <w:gridCol w:w="146"/>
        <w:gridCol w:w="335"/>
        <w:gridCol w:w="551"/>
        <w:gridCol w:w="146"/>
        <w:gridCol w:w="146"/>
        <w:gridCol w:w="211"/>
        <w:gridCol w:w="67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securities were comprised as follows as of December 31, 2024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86"/>
        <w:gridCol w:w="146"/>
        <w:gridCol w:w="1783"/>
        <w:gridCol w:w="146"/>
        <w:gridCol w:w="211"/>
        <w:gridCol w:w="781"/>
        <w:gridCol w:w="146"/>
        <w:gridCol w:w="146"/>
        <w:gridCol w:w="295"/>
        <w:gridCol w:w="591"/>
        <w:gridCol w:w="146"/>
        <w:gridCol w:w="146"/>
        <w:gridCol w:w="318"/>
        <w:gridCol w:w="568"/>
        <w:gridCol w:w="166"/>
        <w:gridCol w:w="146"/>
        <w:gridCol w:w="211"/>
        <w:gridCol w:w="781"/>
        <w:gridCol w:w="392"/>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1 to 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107,411</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amortized cost of available-for-sale securities is adjusted for amortization of premiums and accretion of discounts to maturity. There were no realized gains or losses on available-for-sale securities for the periods presented. None of the investments were in an unrealized loss position for greater than 12 months as of December 31, 2025. The unrealized losses on the Company's available-for-sale securities were caused by the impact of central bank and market interest rates on the investments held. The Company does not intend to sell the investments, and it is not more likely than not that the Company will be required to sell the investments before recovery of their amortized cost bases. After analyzing the securities in an unrealized loss position, the portion of these losses that relates to changes in credit quality is insignificant. The Company did not record an allowance for credit losses as of December 31, 2025. Furthermore, the Company does not believe that these securities expose the Company to undue market risk or counterparty credit risk.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maintained current restricted cash of $1.0 million and non-current restricted cash of $2.4 million. The current restricted cash of $1.0 million is included under the caption “prepaid expenses and other current assets” in the Company's consolidated balance sheet. As of December 31, 2024, the Company maintained no current restricted cash and non-current restricted cash of $3.4 million. All restricted cash amounts are comprised solely of letters of credit required pursuant to the Company's facility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as of December 31, 2025 and 2024 that sums to the total of the same amounts shown in the consolidated statements of cash flows (in thousands): </w:t>
      </w:r>
    </w:p>
    <w:p>
      <w:pPr>
        <w:pStyle w:val="TextBody"/>
        <w:bidi w:val="0"/>
        <w:jc w:val="left"/>
        <w:rPr/>
      </w:pPr>
      <w:r>
        <w:rPr/>
        <w:t> </w:t>
      </w:r>
    </w:p>
    <w:tbl>
      <w:tblPr>
        <w:tblW w:w="6314" w:type="dxa"/>
        <w:jc w:val="left"/>
        <w:tblInd w:w="0" w:type="dxa"/>
        <w:tblLayout w:type="fixed"/>
        <w:tblCellMar>
          <w:top w:w="28" w:type="dxa"/>
          <w:left w:w="28" w:type="dxa"/>
          <w:bottom w:w="28" w:type="dxa"/>
          <w:right w:w="28" w:type="dxa"/>
        </w:tblCellMar>
      </w:tblPr>
      <w:tblGrid>
        <w:gridCol w:w="3711"/>
        <w:gridCol w:w="146"/>
        <w:gridCol w:w="211"/>
        <w:gridCol w:w="676"/>
        <w:gridCol w:w="146"/>
        <w:gridCol w:w="146"/>
        <w:gridCol w:w="211"/>
        <w:gridCol w:w="676"/>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as of December 31, 2025 and 2024 was comprised as follows (in thousands): </w:t>
      </w:r>
    </w:p>
    <w:p>
      <w:pPr>
        <w:pStyle w:val="TextBody"/>
        <w:bidi w:val="0"/>
        <w:jc w:val="left"/>
        <w:rPr/>
      </w:pPr>
      <w:r>
        <w:rPr/>
        <w:t> </w:t>
      </w:r>
    </w:p>
    <w:tbl>
      <w:tblPr>
        <w:tblW w:w="9801" w:type="dxa"/>
        <w:jc w:val="left"/>
        <w:tblInd w:w="0" w:type="dxa"/>
        <w:tblLayout w:type="fixed"/>
        <w:tblCellMar>
          <w:top w:w="28" w:type="dxa"/>
          <w:left w:w="28" w:type="dxa"/>
          <w:bottom w:w="28" w:type="dxa"/>
          <w:right w:w="28" w:type="dxa"/>
        </w:tblCellMar>
      </w:tblPr>
      <w:tblGrid>
        <w:gridCol w:w="3261"/>
        <w:gridCol w:w="146"/>
        <w:gridCol w:w="3691"/>
        <w:gridCol w:w="146"/>
        <w:gridCol w:w="211"/>
        <w:gridCol w:w="736"/>
        <w:gridCol w:w="166"/>
        <w:gridCol w:w="146"/>
        <w:gridCol w:w="211"/>
        <w:gridCol w:w="676"/>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useful life or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expense for the years ended December 31, 2025 and 2024 was $4.3 million and $3.6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fourth quarter of 2025, the Company recorded a non-cash, long-lived asset impairment charge of $15.9 million related to property and equipment. See Note 3 for further discussion of the impairment charge.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as of December 31, 2025 and 2024 were comprised as follows (in thousands): </w:t>
      </w:r>
    </w:p>
    <w:p>
      <w:pPr>
        <w:pStyle w:val="TextBody"/>
        <w:bidi w:val="0"/>
        <w:jc w:val="left"/>
        <w:rPr/>
      </w:pPr>
      <w:r>
        <w:rPr/>
        <w:t> </w:t>
      </w:r>
    </w:p>
    <w:tbl>
      <w:tblPr>
        <w:tblW w:w="6854" w:type="dxa"/>
        <w:jc w:val="left"/>
        <w:tblInd w:w="0" w:type="dxa"/>
        <w:tblLayout w:type="fixed"/>
        <w:tblCellMar>
          <w:top w:w="28" w:type="dxa"/>
          <w:left w:w="28" w:type="dxa"/>
          <w:bottom w:w="28" w:type="dxa"/>
          <w:right w:w="28" w:type="dxa"/>
        </w:tblCellMar>
      </w:tblPr>
      <w:tblGrid>
        <w:gridCol w:w="4461"/>
        <w:gridCol w:w="146"/>
        <w:gridCol w:w="211"/>
        <w:gridCol w:w="571"/>
        <w:gridCol w:w="146"/>
        <w:gridCol w:w="146"/>
        <w:gridCol w:w="211"/>
        <w:gridCol w:w="57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was authorized to issue 200,000,000 shares of common stock, $0.001 per value per share. Holders of common stock are entitled to one vote per share. In addition, holders of common stock are entitled to receive dividends, if and when declared by the Company’s Board of Directors. As of December 31, 2025, no dividends had been declared.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2024, the Company had reserved for future issuance the following number of shares of common stock: </w:t>
      </w:r>
    </w:p>
    <w:p>
      <w:pPr>
        <w:pStyle w:val="TextBody"/>
        <w:bidi w:val="0"/>
        <w:jc w:val="left"/>
        <w:rPr/>
      </w:pPr>
      <w:r>
        <w:rPr/>
        <w:t> </w:t>
      </w:r>
    </w:p>
    <w:tbl>
      <w:tblPr>
        <w:tblW w:w="7139" w:type="dxa"/>
        <w:jc w:val="left"/>
        <w:tblInd w:w="0" w:type="dxa"/>
        <w:tblLayout w:type="fixed"/>
        <w:tblCellMar>
          <w:top w:w="28" w:type="dxa"/>
          <w:left w:w="28" w:type="dxa"/>
          <w:bottom w:w="28" w:type="dxa"/>
          <w:right w:w="28" w:type="dxa"/>
        </w:tblCellMar>
      </w:tblPr>
      <w:tblGrid>
        <w:gridCol w:w="4156"/>
        <w:gridCol w:w="146"/>
        <w:gridCol w:w="146"/>
        <w:gridCol w:w="931"/>
        <w:gridCol w:w="146"/>
        <w:gridCol w:w="146"/>
        <w:gridCol w:w="146"/>
        <w:gridCol w:w="931"/>
        <w:gridCol w:w="3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Exercises of 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1,248,288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outstanding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issuances under 2023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619,923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issuances under 2023 ESPP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2,567,532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2,044,927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PIPE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17, 2024, the Company entered into a subscription agreement with certain new and existing accredited investors to issue and sell an aggregate of 1,249,283 shares of its common stock in a private placement ("PIPE") that resulted in gross proceeds of approximately $70.0 million, before deducting placement agent fees and offering expenses of approximately $2.6 million. The PIPE closed on April 22,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Equity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Company filed a Shelf Registration Statement on Form S-3 (the "Shelf Registration Statement") with the Securities and Exchange Commission ("SEC"), which covered the offering, issuance and sale by the Company of up to an aggregate of $400.0 million of the Company's common stock, preferred stock, debt securities, units and/or warrants. The Shelf Registration Statement included a prospectus covering the offering, issuance and sale of up to $100.0 million of the Company's common stock from time to time through an "at-the-market" offering under the Securities Act of 1933,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Subsequently in December 2024, the Company entered into an Open Market Sale Agreement (the “Sales Agreement”) with TD Cowen Securities (USA) LLC or TD Cowen, acting as the Company's Agent and/or principal (the "Sales Agent") with respect to an "at the market offering" program under which the Company may from time to time, at its sole discretion, issue and sell shares of its common stock having an aggregate offering price of up to $100.0 million through the Sales Agent. TD Cowen is entitled to compensation for its services equal to up to 3.0% of the aggregate gross proceed of any shares of common stock sold through TD Cowen under the Sales Agreement. Pursuant to the Sales Agreement, any shares will be sold pursuant to the Shelf Registration Statement filed with the SEC on December 2, 2024, including the base prospectus contained therein, as declared effective by the SEC on December 9, 2024. As of December 31, 2025, there have been no sales of common stock pursuant to the Sales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9.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 Company was authorized to issue up to 10,000,000 shares of preferred stock, at a par value of $0.001 with no preferred stock shares issued or outstanding.</w:t>
      </w:r>
    </w:p>
    <w:p>
      <w:pPr>
        <w:pStyle w:val="TextBody"/>
        <w:bidi w:val="0"/>
        <w:spacing w:before="360" w:after="283"/>
        <w:jc w:val="left"/>
        <w:rPr>
          <w:rFonts w:ascii="Times New Roman" w:hAnsi="Times New Roman"/>
          <w:sz w:val="20"/>
        </w:rPr>
      </w:pPr>
      <w:r>
        <w:rPr>
          <w:rFonts w:ascii="Times New Roman" w:hAnsi="Times New Roman"/>
          <w:b/>
          <w:color w:val="000000"/>
          <w:sz w:val="20"/>
        </w:rPr>
        <w:t>10.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2023 Stock Option and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Company’s board of directors adopted the Company’s 2023 Stock Option and Incentive Plan (the “2023 Plan”). The 2023 Plan was approved by the Company’s stockholders in November 2023 and became effective in November 2023 in connection with completion of the Merger. The 2023 Plan initially reserved 885,028 shares for the issuance of stock awards. In addition, the number of shares of common stock available for issuance under the 2023 Plan will be automatically increased on the first day of each calendar year during the ten-year term of the 2023 Plan, beginning with January 1, 2024 and ending with January 1, 2033, by the amount equal to 5% of the outstanding number of shares of the Company’s common stock on December 31 of the preceding calendar year or such lesser amount as determined by the Company’s board of directors. Awards granted under the 2023 Plan expire no later than ten years from the date of grant. For stock options, the option price shall generally not be less than 100% of the fair market value on the day of grant. As of December 31, 2025, there were in aggregate 1,847,780 shares of common stock reserved for issuance and 142,985 shares available to grant under the 2023 Plan. As of December 31, 2024, there were in aggregate 1,368,452 shares of common stock reserved for issuance and 619,923 shares available to grant under the 2023 Plan.</w:t>
      </w:r>
    </w:p>
    <w:p>
      <w:pPr>
        <w:pStyle w:val="TextBody"/>
        <w:bidi w:val="0"/>
        <w:spacing w:before="120" w:after="283"/>
        <w:jc w:val="left"/>
        <w:rPr>
          <w:rFonts w:ascii="Times New Roman" w:hAnsi="Times New Roman"/>
          <w:sz w:val="20"/>
        </w:rPr>
      </w:pPr>
      <w:r>
        <w:rPr>
          <w:rFonts w:ascii="Times New Roman" w:hAnsi="Times New Roman"/>
          <w:b/>
          <w:i/>
          <w:color w:val="000000"/>
          <w:sz w:val="20"/>
        </w:rPr>
        <w:t>2019 Stock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2019, the Legacy Korro's Board of Directors adopted the 2019 Stock Incentive Plan (as amended from time to time, the “Legacy Korro Plan”). The Legacy Korro Plan provides for the grant of stock options, stock awards and restricted stock units to employees, members of the Company’s Board of Directors and non-employee consultants and advisors. The Legacy Korro Plan initially provided for the issuance of up to 110,285 shares of common stock. The Legacy Korro Plan was subsequently amended in May 2019, June 2020, October 2020, April 2021, November 2021 and March 2023 to modify the number of shares of common stock issuable under the Legacy Korro Plan. Subsequent to the March 2023 amendment to the Legacy Korro Plan, Legacy Korro could issue up to 747,752 shares of common stock under the Legacy Korro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Merger, each option to purchase shares of Legacy Korro common stock that was outstanding and unexercised under the Legacy Korro Plan immediately prior to the Effective Time, whether or not vested, was converted into an option to purchase shares of the Company’s common stock and became eligible to be registered on Form S-8. The Company assumed each outstanding option to purchase shares of Legacy Korro common stock in accordance with the terms (as in effect as of the date of the Merger Agreement) of the Legacy Korro Plan and the terms of the stock option agreement by which such option to purchase shares of Legacy Korro common stock is evidenced. The number of shares under the Legacy Korro Plan subject to </w:t>
      </w:r>
    </w:p>
    <w:p>
      <w:pPr>
        <w:pStyle w:val="TextBody"/>
        <w:bidi w:val="0"/>
        <w:jc w:val="center"/>
        <w:rPr>
          <w:rFonts w:ascii="Times New Roman" w:hAnsi="Times New Roman"/>
          <w:color w:val="000000"/>
          <w:sz w:val="20"/>
        </w:rPr>
      </w:pPr>
      <w:r>
        <w:rPr>
          <w:rFonts w:ascii="Times New Roman" w:hAnsi="Times New Roman"/>
          <w:color w:val="000000"/>
          <w:sz w:val="20"/>
        </w:rPr>
        <w:t>F-127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outstanding awards as of the effective date of the 2023 Plan that are subsequently canceled, forfeited or repurchased by the Company will be added to the shares reserved under the 2023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reserved for issuance pursuant to outstanding awards under the Legacy Korro Plan as of December 31, 2025 and 2024 was 449,258 shares and 499,759 shares, respectively. There were no shares available for grant under the Legacy Korro Plan at December 31, 2025 and 2024, respectively. Upon completion of the Merger and effectiveness of the 2023 Plan, the Company ceased granting awards under the Legacy Korro Plan.</w:t>
      </w:r>
    </w:p>
    <w:p>
      <w:pPr>
        <w:pStyle w:val="TextBody"/>
        <w:bidi w:val="0"/>
        <w:spacing w:before="12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stock-based compensation expense recognized in the consolidated statements of operations and comprehensive loss for the years ended December 31, 2025 and 2025 was as follows (in thousands): </w:t>
      </w:r>
    </w:p>
    <w:p>
      <w:pPr>
        <w:pStyle w:val="TextBody"/>
        <w:bidi w:val="0"/>
        <w:jc w:val="left"/>
        <w:rPr/>
      </w:pPr>
      <w:r>
        <w:rPr/>
        <w:t> </w:t>
      </w:r>
    </w:p>
    <w:tbl>
      <w:tblPr>
        <w:tblW w:w="6182" w:type="dxa"/>
        <w:jc w:val="left"/>
        <w:tblInd w:w="0" w:type="dxa"/>
        <w:tblLayout w:type="fixed"/>
        <w:tblCellMar>
          <w:top w:w="28" w:type="dxa"/>
          <w:left w:w="28" w:type="dxa"/>
          <w:bottom w:w="28" w:type="dxa"/>
          <w:right w:w="28" w:type="dxa"/>
        </w:tblCellMar>
      </w:tblPr>
      <w:tblGrid>
        <w:gridCol w:w="3651"/>
        <w:gridCol w:w="146"/>
        <w:gridCol w:w="226"/>
        <w:gridCol w:w="614"/>
        <w:gridCol w:w="157"/>
        <w:gridCol w:w="157"/>
        <w:gridCol w:w="226"/>
        <w:gridCol w:w="614"/>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stock options granted during the years ended December 31, 2025 and 2024 was calculated on the date of grant using the following weighted-average assumptions: </w:t>
      </w:r>
    </w:p>
    <w:p>
      <w:pPr>
        <w:pStyle w:val="TextBody"/>
        <w:bidi w:val="0"/>
        <w:jc w:val="left"/>
        <w:rPr/>
      </w:pPr>
      <w:r>
        <w:rPr/>
        <w:t> </w:t>
      </w:r>
    </w:p>
    <w:tbl>
      <w:tblPr>
        <w:tblW w:w="4585" w:type="dxa"/>
        <w:jc w:val="left"/>
        <w:tblInd w:w="0" w:type="dxa"/>
        <w:tblLayout w:type="fixed"/>
        <w:tblCellMar>
          <w:top w:w="28" w:type="dxa"/>
          <w:left w:w="28" w:type="dxa"/>
          <w:bottom w:w="28" w:type="dxa"/>
          <w:right w:w="28" w:type="dxa"/>
        </w:tblCellMar>
      </w:tblPr>
      <w:tblGrid>
        <w:gridCol w:w="2131"/>
        <w:gridCol w:w="146"/>
        <w:gridCol w:w="177"/>
        <w:gridCol w:w="566"/>
        <w:gridCol w:w="329"/>
        <w:gridCol w:w="177"/>
        <w:gridCol w:w="177"/>
        <w:gridCol w:w="5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Using the Black-Scholes option pricing model, the weighted-average grant date fair value of stock options granted during the years ended December 31, 2025 and 2024 was $19.33 and $31.80 per share,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changes in stock option activity during the year ended December 31, 2025 (in thousands, except per share amounts): </w:t>
      </w:r>
    </w:p>
    <w:p>
      <w:pPr>
        <w:pStyle w:val="TextBody"/>
        <w:bidi w:val="0"/>
        <w:spacing w:before="120" w:after="283"/>
        <w:jc w:val="left"/>
        <w:rPr/>
      </w:pPr>
      <w:r>
        <w:rPr/>
        <w:t> </w:t>
      </w:r>
    </w:p>
    <w:tbl>
      <w:tblPr>
        <w:tblW w:w="8410"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230"/>
        <w:gridCol w:w="626"/>
        <w:gridCol w:w="146"/>
        <w:gridCol w:w="146"/>
        <w:gridCol w:w="285"/>
        <w:gridCol w:w="706"/>
        <w:gridCol w:w="146"/>
        <w:gridCol w:w="146"/>
        <w:gridCol w:w="211"/>
        <w:gridCol w:w="67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2025 and 2024 was $1.0 million and $5.0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there was unrecognized stock-based compensation expense related to unvested stock options of $13.4 million, which the Company expects to recognize over a weighted-average period of approximately 2.7 years. </w:t>
      </w:r>
    </w:p>
    <w:p>
      <w:pPr>
        <w:pStyle w:val="TextBody"/>
        <w:bidi w:val="0"/>
        <w:jc w:val="center"/>
        <w:rPr>
          <w:rFonts w:ascii="Times New Roman" w:hAnsi="Times New Roman"/>
          <w:color w:val="000000"/>
          <w:sz w:val="20"/>
        </w:rPr>
      </w:pPr>
      <w:r>
        <w:rPr>
          <w:rFonts w:ascii="Times New Roman" w:hAnsi="Times New Roman"/>
          <w:color w:val="000000"/>
          <w:sz w:val="20"/>
        </w:rPr>
        <w:t>F-128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changes in restricted stock unit award activity during the year ended December 31, 2025 (in thousands, except per share amounts):</w:t>
      </w:r>
    </w:p>
    <w:p>
      <w:pPr>
        <w:pStyle w:val="TextBody"/>
        <w:bidi w:val="0"/>
        <w:spacing w:before="120" w:after="283"/>
        <w:jc w:val="left"/>
        <w:rPr/>
      </w:pPr>
      <w:r>
        <w:rPr/>
        <w:t> </w:t>
      </w:r>
    </w:p>
    <w:tbl>
      <w:tblPr>
        <w:tblW w:w="7877" w:type="dxa"/>
        <w:jc w:val="left"/>
        <w:tblInd w:w="0" w:type="dxa"/>
        <w:tblLayout w:type="fixed"/>
        <w:tblCellMar>
          <w:top w:w="28" w:type="dxa"/>
          <w:left w:w="28" w:type="dxa"/>
          <w:bottom w:w="28" w:type="dxa"/>
          <w:right w:w="28" w:type="dxa"/>
        </w:tblCellMar>
      </w:tblPr>
      <w:tblGrid>
        <w:gridCol w:w="5176"/>
        <w:gridCol w:w="146"/>
        <w:gridCol w:w="146"/>
        <w:gridCol w:w="781"/>
        <w:gridCol w:w="146"/>
        <w:gridCol w:w="146"/>
        <w:gridCol w:w="293"/>
        <w:gridCol w:w="652"/>
        <w:gridCol w:w="3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restricted stock units granted during the year ended December 31, 2025 was $4.0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was unrecognized stock-based compensation expense related to unvested restricted stock unit awards of $3.8 million, which the Company expects to recognize over a weighted-average period of approximately 1.0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cost of $0.2 million and $0.0 million related to the restricted stock units was recognized during the years ended December 31, 2025 and 2024,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2025 and 2024, the loss before income taxes consisted of the following (in thousands):</w:t>
      </w:r>
    </w:p>
    <w:p>
      <w:pPr>
        <w:pStyle w:val="TextBody"/>
        <w:bidi w:val="0"/>
        <w:spacing w:before="120" w:after="283"/>
        <w:jc w:val="left"/>
        <w:rPr/>
      </w:pPr>
      <w:r>
        <w:rPr/>
        <w:t> </w:t>
      </w:r>
    </w:p>
    <w:tbl>
      <w:tblPr>
        <w:tblW w:w="3554" w:type="dxa"/>
        <w:jc w:val="left"/>
        <w:tblInd w:w="0" w:type="dxa"/>
        <w:tblLayout w:type="fixed"/>
        <w:tblCellMar>
          <w:top w:w="28" w:type="dxa"/>
          <w:left w:w="28" w:type="dxa"/>
          <w:bottom w:w="28" w:type="dxa"/>
          <w:right w:w="28" w:type="dxa"/>
        </w:tblCellMar>
      </w:tblPr>
      <w:tblGrid>
        <w:gridCol w:w="886"/>
        <w:gridCol w:w="146"/>
        <w:gridCol w:w="211"/>
        <w:gridCol w:w="841"/>
        <w:gridCol w:w="166"/>
        <w:gridCol w:w="146"/>
        <w:gridCol w:w="211"/>
        <w:gridCol w:w="736"/>
        <w:gridCol w:w="21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income taxes for the years ended December 31, 2025 and 2024 was comprised as follows (in thousands): </w:t>
      </w:r>
    </w:p>
    <w:p>
      <w:pPr>
        <w:pStyle w:val="TextBody"/>
        <w:bidi w:val="0"/>
        <w:jc w:val="left"/>
        <w:rPr/>
      </w:pPr>
      <w:r>
        <w:rPr/>
        <w:t> </w:t>
      </w:r>
    </w:p>
    <w:tbl>
      <w:tblPr>
        <w:tblW w:w="5892" w:type="dxa"/>
        <w:jc w:val="left"/>
        <w:tblInd w:w="0" w:type="dxa"/>
        <w:tblLayout w:type="fixed"/>
        <w:tblCellMar>
          <w:top w:w="28" w:type="dxa"/>
          <w:left w:w="28" w:type="dxa"/>
          <w:bottom w:w="28" w:type="dxa"/>
          <w:right w:w="28" w:type="dxa"/>
        </w:tblCellMar>
      </w:tblPr>
      <w:tblGrid>
        <w:gridCol w:w="3161"/>
        <w:gridCol w:w="146"/>
        <w:gridCol w:w="270"/>
        <w:gridCol w:w="540"/>
        <w:gridCol w:w="187"/>
        <w:gridCol w:w="187"/>
        <w:gridCol w:w="270"/>
        <w:gridCol w:w="540"/>
        <w:gridCol w:w="59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reconciliation of the federal statutory income tax rate to the Company’s effective tax rate is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01"/>
        <w:gridCol w:w="173"/>
        <w:gridCol w:w="250"/>
        <w:gridCol w:w="877"/>
        <w:gridCol w:w="197"/>
        <w:gridCol w:w="173"/>
        <w:gridCol w:w="173"/>
        <w:gridCol w:w="626"/>
        <w:gridCol w:w="388"/>
        <w:gridCol w:w="173"/>
        <w:gridCol w:w="250"/>
        <w:gridCol w:w="877"/>
        <w:gridCol w:w="197"/>
        <w:gridCol w:w="173"/>
        <w:gridCol w:w="173"/>
        <w:gridCol w:w="626"/>
        <w:gridCol w:w="578"/>
      </w:tblGrid>
      <w:tr>
        <w:trPr/>
        <w:tc>
          <w:tcPr>
            <w:tcW w:w="43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computed at federal statutory rate</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taxes, net of federal benefit </w:t>
            </w:r>
            <w:r>
              <w:rPr>
                <w:rFonts w:ascii="Times New Roman" w:hAnsi="Times New Roman"/>
                <w:color w:val="000000"/>
                <w:sz w:val="13"/>
              </w:rPr>
              <w:t>(a)</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jurisdictions</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 boarder transactions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Enactment of new tax laws</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&amp; development credits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cancellations</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627"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 xml:space="preserve">(a) </w:t>
            </w:r>
            <w:r>
              <w:rPr>
                <w:rFonts w:ascii="Times New Roman" w:hAnsi="Times New Roman"/>
                <w:color w:val="000000"/>
                <w:sz w:val="18"/>
              </w:rPr>
              <w:t>The states and local jurisdictions that contribute to the majority (greater than 50%) of the tax effect in this category include Massachusetts.</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2025 and 2024, the amount of cash income taxes paid by the Company was as follows (in thousands):</w:t>
      </w:r>
    </w:p>
    <w:tbl>
      <w:tblPr>
        <w:tblW w:w="3709" w:type="dxa"/>
        <w:jc w:val="left"/>
        <w:tblInd w:w="0" w:type="dxa"/>
        <w:tblLayout w:type="fixed"/>
        <w:tblCellMar>
          <w:top w:w="28" w:type="dxa"/>
          <w:left w:w="28" w:type="dxa"/>
          <w:bottom w:w="28" w:type="dxa"/>
          <w:right w:w="28" w:type="dxa"/>
        </w:tblCellMar>
      </w:tblPr>
      <w:tblGrid>
        <w:gridCol w:w="1591"/>
        <w:gridCol w:w="146"/>
        <w:gridCol w:w="211"/>
        <w:gridCol w:w="346"/>
        <w:gridCol w:w="146"/>
        <w:gridCol w:w="146"/>
        <w:gridCol w:w="211"/>
        <w:gridCol w:w="421"/>
        <w:gridCol w:w="4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principal components of the Company’s deferred tax assets and liabilities as of December 31, 2025 and 2024 were comprised as follows (in thousands): </w:t>
      </w:r>
    </w:p>
    <w:p>
      <w:pPr>
        <w:pStyle w:val="TextBody"/>
        <w:bidi w:val="0"/>
        <w:jc w:val="left"/>
        <w:rPr/>
      </w:pPr>
      <w:r>
        <w:rPr/>
        <w:t> </w:t>
      </w:r>
    </w:p>
    <w:tbl>
      <w:tblPr>
        <w:tblW w:w="7559" w:type="dxa"/>
        <w:jc w:val="left"/>
        <w:tblInd w:w="0" w:type="dxa"/>
        <w:tblLayout w:type="fixed"/>
        <w:tblCellMar>
          <w:top w:w="28" w:type="dxa"/>
          <w:left w:w="28" w:type="dxa"/>
          <w:bottom w:w="28" w:type="dxa"/>
          <w:right w:w="28" w:type="dxa"/>
        </w:tblCellMar>
      </w:tblPr>
      <w:tblGrid>
        <w:gridCol w:w="4386"/>
        <w:gridCol w:w="146"/>
        <w:gridCol w:w="211"/>
        <w:gridCol w:w="841"/>
        <w:gridCol w:w="166"/>
        <w:gridCol w:w="146"/>
        <w:gridCol w:w="211"/>
        <w:gridCol w:w="841"/>
        <w:gridCol w:w="611"/>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178,651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federal and state net operating loss (“NOL”) carryforwards $462.0 million and $436.9 million, respectively. Under current law, the Company's federal NOLs generated in taxable years ending after December 31, 2017, may be carried forward indefinitely, but the deductibility of such federal NOLs is limited to 80% of the Company's taxable income annually for tax years beginning after December 31, 2018. Federal NOLs generated in taxable years ending on or prior to December 31, 2017, however, have a 20-year carryforward period, but are not subject to the 80% limitation. The Company has federal NOLs of $22.4 million that are subject to expiration between 2036 and 2037 and has $439.6 million of federal NOLs that do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NOLs expire at various dates from 2035 through 2045. As of December 31, 2025, the Company had federal research and development tax credit carryforwards of $20.2 million that expire at various dates from 2037 through 2045. In addition, as of December 31, 2025, the Company had state research and development tax credit carryforwards of $9.9 million that expire at various dates from 2032 through 2040.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the positive and negative evidence bearing upon the realizability of its deferred tax assets, which primarily pertain to NOL carryforwards, tax credit carryforwards and capitalized research and development. The Company has determined that it is more likely than not that it will not realize the benefits of its deferred tax assets, and as a result, a valuation allowance of $202.3 million has been established at December 31, 2025. The increase in the valuation allowance of $34.0 million during the year ended December 31, 2025 was primarily due to the additional operating loss generated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NOL and tax credit carryforwards are subject to review and possible adjustment by the Internal Revenue Service and may become subject to an annual limitation in the event of certain cumulative changes in the ownership interest of significant shareholders over a three-year period in excess of 50% as defined under Sections 382 and 383 in the IRC. This could limit the amount of tax attributes that can be utilized annually to offset future taxable income or tax liabilities. The amount of the annual limitation is determined based on the Company’s value immediately prior to the ownership change. As a result of ownership changes in the Company from its inception through December 31, 2025, the Company’s NOL and tax credit carryforwards allocable to the periods preceding each such ownership change could be subject to limitations under IRC Section 382, however the Company has not yet completed an IRC Section 382 study. The Company’s foreign net operating loss carryforwards may also be limited under similar laws in the foreign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no unrecognized tax benefits as of either December 31, 2025 or 2024. The Company has not conducted a study of its research and development credit carryforwards generated during any year. This study, once completed, may result in an adjustment to the Company’s research and development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until a study is completed and any adjustment is known, no amounts are being presented as an uncertain tax position. A full valuation allowance has been provided against the Company’s research and development credit carryforwards, and if an adjustment is required, this adjustment would be offset by an adjustment to the valuation allowance. Thus, there would be no impact to the consolidated statements of operations and comprehensive loss if an adjustment were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files income tax returns in the United States federal tax jurisdiction and the California, Connecticut, Florida, Massachusetts, New Hampshire, New Jersey and South Carolina state tax jurisdictions. The Company also files an income tax return in Australia for the Company’s Australian subsidiary. Because the Company is in a loss carryforward position, it is generally subject to examination by federal and state tax authorities for all tax years in which a loss carryforward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has not incurred any material interest or penalty charges.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Collaboration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Genevant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Legacy Korro entered into a collaboration and license agreement (the “Genevant Agreement”) with Genevant Sciences GmbH (“Genevant”). Key financial terms under the Genevant Agreement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Company made a $2.5</w:t>
      </w:r>
      <w:r>
        <w:rPr>
          <w:color w:val="000000"/>
        </w:rPr>
        <w:t xml:space="preserve"> </w:t>
      </w:r>
      <w:r>
        <w:rPr>
          <w:rFonts w:ascii="Times New Roman" w:hAnsi="Times New Roman"/>
          <w:color w:val="000000"/>
          <w:sz w:val="20"/>
        </w:rPr>
        <w:t xml:space="preserve">million payment to Genevant in March 2023 upon execution of the Genevant Agreement and recorded the payment within research and development expense in the consolidated statement of operations for the year ended December 31,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will reimburse Genevant for certain out-of-pocket and full-time equivalent costs incurred as a result of research and development activities performed under the Genevant Agreement.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Genevant is entitled to receive payments from the Company upon the achievement of certain milestones, including potential clinical milestone payments of up to $13.5</w:t>
      </w:r>
      <w:r>
        <w:rPr>
          <w:color w:val="000000"/>
        </w:rPr>
        <w:t xml:space="preserve"> </w:t>
      </w:r>
      <w:r>
        <w:rPr>
          <w:rFonts w:ascii="Times New Roman" w:hAnsi="Times New Roman"/>
          <w:color w:val="000000"/>
          <w:sz w:val="20"/>
        </w:rPr>
        <w:t xml:space="preserve">million, potential regulatory and development milestone </w:t>
      </w:r>
    </w:p>
    <w:p>
      <w:pPr>
        <w:pStyle w:val="TextBody"/>
        <w:bidi w:val="0"/>
        <w:jc w:val="center"/>
        <w:rPr>
          <w:rFonts w:ascii="Times New Roman" w:hAnsi="Times New Roman"/>
          <w:color w:val="000000"/>
          <w:sz w:val="20"/>
        </w:rPr>
      </w:pPr>
      <w:r>
        <w:rPr>
          <w:rFonts w:ascii="Times New Roman" w:hAnsi="Times New Roman"/>
          <w:color w:val="000000"/>
          <w:sz w:val="20"/>
        </w:rPr>
        <w:t>F-131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payments of up to $27.0</w:t>
      </w:r>
      <w:r>
        <w:rPr>
          <w:color w:val="000000"/>
        </w:rPr>
        <w:t xml:space="preserve"> </w:t>
      </w:r>
      <w:r>
        <w:rPr>
          <w:rFonts w:ascii="Times New Roman" w:hAnsi="Times New Roman"/>
          <w:color w:val="000000"/>
          <w:sz w:val="20"/>
        </w:rPr>
        <w:t>million, and potential commercial milestone payments up to an aggregate total of $57.0</w:t>
      </w:r>
      <w:r>
        <w:rPr>
          <w:color w:val="000000"/>
        </w:rPr>
        <w:t xml:space="preserve"> </w:t>
      </w:r>
      <w:r>
        <w:rPr>
          <w:rFonts w:ascii="Times New Roman" w:hAnsi="Times New Roman"/>
          <w:color w:val="000000"/>
          <w:sz w:val="20"/>
        </w:rPr>
        <w:t>million.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Genevant is eligible to receive royalties at percentage rates in the mid-single-digits, based on future annual net sales of licensed products within the scope of the Genevant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one development milestone of $1.0 million had been achieved. In January 2025, the Company announced dosing of the first participants in its Phase 1/2a REWRITE clinical program investigating KRRO-110 as a treatment for AATD, which triggered the second payment of a $1.5 million development milestone. The Company recorded $1.9 million and $3.0 million within research and development expense in the consolidated statement of operations and comprehensive loss during the year ended December 31, 2025 and 2024, respectively, related to the Genevant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Novo Nordisk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13, 2024, the Company entered into a research collaboration and license agreement with Novo Nordisk, pursuant to which the Company granted Novo Nordisk an exclusive worldwide license under certain intellectual property rights to research, develop, manufacture, commercialize or otherwise exploit certain licensed compounds and licensed products for an initial target in the cardiometabolic field and for a second target (to be nominated by Novo Nordisk within a specified time period as set forth in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agreement, the Company has the potential to receive up to a total of $530.0 million plus tiered royalties and cost reimbursement for the Company's performance of research and development activities for two programs. Novo Nordisk agreed to pay the Company an upfront non-refundable fee of $10.0 million for the research program with respect to the initial target, and the Company is eligible to receive an additional $10.0 million upfront nonrefundable fee for a second research program with respect to the second target (if nominated by Novo Nordisk). The Company is eligible to receive research and development and regulatory milestone payments of up to $115.0 million for the initial target and up to an additional $115.0 million for the second target (if applicable). The Company is eligible to receive commercial milestone payments of up to $140.0 million for the initial target and up to an additional $140.0 million for the second target (if applicable). In addition, Novo Nordisk agreed to pay the Company royalties for each potential licensed product developed under the agreement that are an escalating tiered, mid-single digit percentage of the annual net sales of such licensed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terms of the agreement, the Company granted Novo Nordisk an exclusive, worldwide, royalty-bearing license, with the right to grant sublicenses, to use certain technology controlled by the Company for the purpose of researching, developing, manufacturing, commercializing or otherwise exploiting certain licensed compounds and licensed products that contain such licensed compounds, for all uses and indications, including prophylactic, diagnostic, therapeutic, curative, management, mitigation and preventative uses. During the term of the agreement and a two-year post-termination period and on a per target basis, the Company will not be permitted to research, develop, manufacture, commercialize, or otherwise exploit outside of the collaboration, any product targeting such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agreement, the Company is responsible for certain research and development activities with respect to licensed compounds and licensed products directed against the initial target and the second target (if nominated by Novo Nordisk), and the Company is eligible to receive cost reimbursement from Novo Nordisk for its performance of such research and development activities under the agreement with respect to such target(s). Novo Nordisk may undertake subsequent worldwide development, manufacturing, marketing and commercialization of the licensed products directed against the initial target and the second target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earlier terminated, the agreement has a term that continues, on a per licensed product and per country basis, until the later of (i) the expiration of the last valid patent claim controlled or invented by us that covers the composition of matter of such licensed product’s licensed compound in such country, and (ii) 10 years after the first reimbursed sale of such licensed product in such country. Novo Nordisk has the right to terminate the agreement without cause in its entirety or on a per research program or per licensed product basis. The agreement may also be terminated by either party based on an uncured material breach by the other party or the bankruptcy of the other party. Upon termination of the agreement due to Novo Nordisk’s actions, the license granted by the Company to Novo Nordisk to develop, manufacture, commercialize or otherwise exploit the licensed compounds and licensed products will automatically terminate with respect to the terminated research program or terminated licensed product, as applicable. Upon termination of the agreement due to the Company's actions, Novo Nordisk may choose to either have the license granted by the Company to Novo Nordisk to develop, manufacture, commercialize or otherwise exploit the licensed compounds and licensed products terminate or continue with respect to the terminated research program or terminated licensed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the Company received an upfront nonrefundable payment of $10.0 million from Novo Nordisk and expected to receive approximately $29.5 million in cost reimbursement through 2026 to fund the related research and development activities related to the first product candidate, or program target. </w:t>
      </w:r>
    </w:p>
    <w:p>
      <w:pPr>
        <w:pStyle w:val="TextBody"/>
        <w:bidi w:val="0"/>
        <w:jc w:val="center"/>
        <w:rPr>
          <w:rFonts w:ascii="Times New Roman" w:hAnsi="Times New Roman"/>
          <w:color w:val="000000"/>
          <w:sz w:val="20"/>
        </w:rPr>
      </w:pPr>
      <w:r>
        <w:rPr>
          <w:rFonts w:ascii="Times New Roman" w:hAnsi="Times New Roman"/>
          <w:color w:val="000000"/>
          <w:sz w:val="20"/>
        </w:rPr>
        <w:t>F-132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assessed this arrangement in accordance with ASC 606 and concluded that the contract counterparty, Novo Nordisk, is a customer. The Company determined that the research services and the exclusive licenses granted under the collaboration agreement for the initial target are not distinct and, therefore, the Company accounts for the research services and exclusive licenses as a single performance obligation. Additionally, the Company concluded that Novo Nordisk’s option to select a second target does not give rise to a material right or performance obligation until the additional target is selected due to the additional services being priced at standalone selling price. The Company recognizes revenue related to the combined license and research services performance obligation over time using the input method. Under the input method, the extent of progress towards completion is measured based on the ratio of costs incurred to date to the total estimated costs at completion of the performance obligation, which the Company believes best measures its progress towards satisfying the combined performance obligation. A cost-based input method of revenue recognition requires management to make estimates of costs to complete the performance obligation. In making such estimates, judgment is required to evaluate assumptions related to cost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November 11, 2025, the Company and Novo Nordisk entered into an amendment to the research collaboration and license agreement under which the Company and Novo Nordisk agreed to pause the research collaboration and license agreement for 12 months (the “hold period”), effective as of the date of the amendment. During the hold period, the parties agreed that all research and development activities and corresponding obligations under the agreement will be suspended without any liability or payment obligation for either party. The Company also agreed to promptly wind-down its research and development activities in connection with the license agreement and Novo Nordisk agreed to reimburse the Company for certain wind-down costs associated with the hold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total transaction price was determined to be $40.0 million based on the $10.0 million upfront nonrefundable payment and $30.0 million of estimated research services for the first program target. During the years ended December 31, 2025 and 2024, the Company recognized total collaboration revenue of $6.4 million and $2.3 million, respectively. In November 2025, the Company agreed to a 12 month pause on such collaboration with Novo Nordisk, and accordingly, the Company is expected to recognize revenue through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$0.0 million of current deferred revenue and $7.8 million of noncurrent deferred revenue as of December 31, 2025, based on the period the services are expected to be performed and/or related costs to be incurred. The Company had $1.0 million of current accounts receivable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assess the probability of achieving the milestones and include them in the transaction price when they are deemed probable. Royalties and commercial sale milestones will be recognized when the subsequent sales occur based on the sales or usage-based royalty exception.</w:t>
      </w:r>
    </w:p>
    <w:p>
      <w:pPr>
        <w:pStyle w:val="TextBody"/>
        <w:bidi w:val="0"/>
        <w:spacing w:before="360" w:after="283"/>
        <w:jc w:val="left"/>
        <w:rPr>
          <w:rFonts w:ascii="Times New Roman" w:hAnsi="Times New Roman"/>
          <w:sz w:val="20"/>
        </w:rPr>
      </w:pPr>
      <w:r>
        <w:rPr>
          <w:rFonts w:ascii="Times New Roman" w:hAnsi="Times New Roman"/>
          <w:b/>
          <w:color w:val="000000"/>
          <w:sz w:val="20"/>
        </w:rPr>
        <w:t>13.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party to an operating lease for 50,453 square feet of office and laboratory space at 60 First Street, Cambridge, Massachusetts (the “60 First Street Lease”). In May 2023, the Company obtained control over the space and the Company recognized the operating lease right-of-use asset and the operating lease liability of $26.8 million on the commencement date of the lease. The total rental payments over the 11 year lease are expected to be $62.1 million, including rent credits and other lease incentives per the terms of the lease. Specifically, the 60 First Street Lease provides the Company with a tenant improvement allowance of $13.1 million. The Company utilized full amount of the $13.1 million tenant improvement allowance as of December 31, 2024. The lease has a remaining term of approximately nine years. The Company has an option to extend the lease for an additional period of five years with the rent during the option period being the then fair market rent.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maturity of undiscounted payments due under lease liabilities and the present value of those liabilities as of December 31, 2025 were as follows (in thousands):</w:t>
      </w:r>
    </w:p>
    <w:p>
      <w:pPr>
        <w:pStyle w:val="TextBody"/>
        <w:bidi w:val="0"/>
        <w:jc w:val="both"/>
        <w:rPr/>
      </w:pPr>
      <w:r>
        <w:rPr/>
        <w:t> </w:t>
      </w:r>
    </w:p>
    <w:tbl>
      <w:tblPr>
        <w:tblW w:w="5548" w:type="dxa"/>
        <w:jc w:val="left"/>
        <w:tblInd w:w="0" w:type="dxa"/>
        <w:tblLayout w:type="fixed"/>
        <w:tblCellMar>
          <w:top w:w="28" w:type="dxa"/>
          <w:left w:w="28" w:type="dxa"/>
          <w:bottom w:w="28" w:type="dxa"/>
          <w:right w:w="28" w:type="dxa"/>
        </w:tblCellMar>
      </w:tblPr>
      <w:tblGrid>
        <w:gridCol w:w="3691"/>
        <w:gridCol w:w="146"/>
        <w:gridCol w:w="334"/>
        <w:gridCol w:w="1166"/>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weighted average remaining lease term was 8.3 years and the weighted average incremental borrowing rate used to determine the operating lease liability was 11.2%.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combines the lease and non-lease components of fixed costs in its lease arrangements as a single lease component. Variable costs, such as utilities and maintenance costs, are not included in the measurement of ROU assets and lease liabilities, but rather are expensed when the event determining the amount of variable consideration to be paid occurs.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effect of lease costs in the Company’s consolidated statement of operations and comprehensive loss of its operating leases (in thousands):</w:t>
      </w:r>
    </w:p>
    <w:p>
      <w:pPr>
        <w:pStyle w:val="TextBody"/>
        <w:bidi w:val="0"/>
        <w:jc w:val="left"/>
        <w:rPr/>
      </w:pPr>
      <w:r>
        <w:rPr/>
        <w:t> </w:t>
      </w:r>
    </w:p>
    <w:tbl>
      <w:tblPr>
        <w:tblW w:w="4406" w:type="dxa"/>
        <w:jc w:val="left"/>
        <w:tblInd w:w="0" w:type="dxa"/>
        <w:tblLayout w:type="fixed"/>
        <w:tblCellMar>
          <w:top w:w="28" w:type="dxa"/>
          <w:left w:w="28" w:type="dxa"/>
          <w:bottom w:w="28" w:type="dxa"/>
          <w:right w:w="28" w:type="dxa"/>
        </w:tblCellMar>
      </w:tblPr>
      <w:tblGrid>
        <w:gridCol w:w="1876"/>
        <w:gridCol w:w="146"/>
        <w:gridCol w:w="214"/>
        <w:gridCol w:w="581"/>
        <w:gridCol w:w="148"/>
        <w:gridCol w:w="148"/>
        <w:gridCol w:w="214"/>
        <w:gridCol w:w="688"/>
        <w:gridCol w:w="3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fourth quarter of 2025, the Company recorded a non-cash, long-lived asset impairment charge of $15.0 million related to its operating ROU asset. See Note 3 for further discussion of the impairment charge.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not subject to any material legal proceedings or claims as of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indemnifies each of its officers and directors for certain events or occurrences, subject to certain limits, while the officer or director is or was serving at the Company’s request in such capacity, as permitted under Delaware law and in accordance with the Company’s amended and restated certificate of incorporation and bylaws. The term of the indemnification period lasts as long as an officer or director may be subject to any proceeding arising out of acts or omissions of such officer or director in such capacity.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maximum amount of potential future indemnification is unlimited; however, the Company currently holds director and officer liability insurance. This insurance allows the transfer of risk associated with the Company’s exposure and may enable the Company to recover a portion of any future amounts paid. The Company believes that the fair value of these potential indemnification obligations is minimal. Accordingly, the Company has not recognized any liabilities relating to these obligations for any period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14. 401(k) Savings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defined-contribution savings plan under Section 401(k) of the IRC (the “401(k) Plan”). The 401(k) Plan covers all employees who meet defined minimum age and service requirements and allows participants to defer a portion of their annual compensation, subject to statutory limitations. Effective in 2025, the Company makes an employer non-elective safe harbor contribution of 3% of the participant’s salary, subject to employer match limitations under the IRC. As such, the Company </w:t>
      </w:r>
    </w:p>
    <w:p>
      <w:pPr>
        <w:pStyle w:val="TextBody"/>
        <w:bidi w:val="0"/>
        <w:jc w:val="center"/>
        <w:rPr>
          <w:rFonts w:ascii="Times New Roman" w:hAnsi="Times New Roman"/>
          <w:color w:val="000000"/>
          <w:sz w:val="20"/>
        </w:rPr>
      </w:pPr>
      <w:r>
        <w:rPr>
          <w:rFonts w:ascii="Times New Roman" w:hAnsi="Times New Roman"/>
          <w:color w:val="000000"/>
          <w:sz w:val="20"/>
        </w:rPr>
        <w:t>F-134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made $0.5 million and $0.6 million of matching contributions to the 401(k) Plan during the year ended December 31, 2025 and December 31, 2024,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common stock equivalents have been excluded from the calculation of diluted net loss per share because their effect would be anti-dilutive: </w:t>
      </w:r>
    </w:p>
    <w:p>
      <w:pPr>
        <w:pStyle w:val="TextBody"/>
        <w:bidi w:val="0"/>
        <w:jc w:val="left"/>
        <w:rPr/>
      </w:pPr>
      <w:r>
        <w:rPr/>
        <w:t> </w:t>
      </w:r>
    </w:p>
    <w:tbl>
      <w:tblPr>
        <w:tblW w:w="5919" w:type="dxa"/>
        <w:jc w:val="left"/>
        <w:tblInd w:w="0" w:type="dxa"/>
        <w:tblLayout w:type="fixed"/>
        <w:tblCellMar>
          <w:top w:w="28" w:type="dxa"/>
          <w:left w:w="28" w:type="dxa"/>
          <w:bottom w:w="28" w:type="dxa"/>
          <w:right w:w="28" w:type="dxa"/>
        </w:tblCellMar>
      </w:tblPr>
      <w:tblGrid>
        <w:gridCol w:w="3136"/>
        <w:gridCol w:w="146"/>
        <w:gridCol w:w="146"/>
        <w:gridCol w:w="931"/>
        <w:gridCol w:w="146"/>
        <w:gridCol w:w="146"/>
        <w:gridCol w:w="146"/>
        <w:gridCol w:w="931"/>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1,248,288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implemented a strategic plan to streamline its operations, including a reduction in the Company’s workforce by approximately 20%. On November 12, 2025, the Company implemented a strategic restructuring to extend cash runway, including a reduction in the Company’s workforce by approximately 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the Company recorded one-time restructuring charges of $1.2 million and $2.4 million related to the May 2025 and November 2025 workforce reductions, respectively, including employee severance, benefits and related termination costs and are included under the caption “Restructuring charge” in the Company’s consolidated statement of operations and comprehensive loss. During the year ended December 31, 2025, all activities related to the May 2025 workforce reduction were completed. The remaining payments related to the November 2025 workforce reduction are expected to be paid by the third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cost accruals are included under the caption “Accrued expenses and other current liabilities” in the Company's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activity for the May 2025 and November 2025 workforce reductions:</w:t>
      </w:r>
    </w:p>
    <w:p>
      <w:pPr>
        <w:pStyle w:val="TextBody"/>
        <w:bidi w:val="0"/>
        <w:spacing w:before="120" w:after="283"/>
        <w:jc w:val="left"/>
        <w:rPr/>
      </w:pPr>
      <w:r>
        <w:rPr/>
        <w:t> </w:t>
      </w:r>
    </w:p>
    <w:tbl>
      <w:tblPr>
        <w:tblW w:w="3824" w:type="dxa"/>
        <w:jc w:val="left"/>
        <w:tblInd w:w="0" w:type="dxa"/>
        <w:tblLayout w:type="fixed"/>
        <w:tblCellMar>
          <w:top w:w="28" w:type="dxa"/>
          <w:left w:w="28" w:type="dxa"/>
          <w:bottom w:w="28" w:type="dxa"/>
          <w:right w:w="28" w:type="dxa"/>
        </w:tblCellMar>
      </w:tblPr>
      <w:tblGrid>
        <w:gridCol w:w="2596"/>
        <w:gridCol w:w="146"/>
        <w:gridCol w:w="218"/>
        <w:gridCol w:w="653"/>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w:t>
              <w:br/>
              <w:t>separation</w:t>
              <w:br/>
              <w:t>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segment and one operating segment, which is the business of discovering, developing and commercializing therapies derived from or incorporating its RNA-editing technology. The Company's chief operating decision maker ("CODM) is the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assesses performance, monitors budget versus actual results, and decides how to allocate resources based on net loss that also is reported on the consolidated statements of operations and comprehensive loss. The CODM allocates resources based on the Company's available cash resources, forecasted cash flow, and expenditures on a consolidated basis, as well as an assessment of the probability of success of its research and development activities. Resource allocation decisions are informed by budgeted and forecasted expense information, along with actual expenses incurred to date. The accounting policies of the Company's single reportable segment are the same as those described in the summary of significant accounting policies. The level of disaggregation and amounts of significant segment expenses that are regularly provided to the CODM are the same as those </w:t>
      </w:r>
    </w:p>
    <w:p>
      <w:pPr>
        <w:pStyle w:val="TextBody"/>
        <w:bidi w:val="0"/>
        <w:jc w:val="center"/>
        <w:rPr>
          <w:rFonts w:ascii="Times New Roman" w:hAnsi="Times New Roman"/>
          <w:color w:val="000000"/>
          <w:sz w:val="20"/>
        </w:rPr>
      </w:pPr>
      <w:r>
        <w:rPr>
          <w:rFonts w:ascii="Times New Roman" w:hAnsi="Times New Roman"/>
          <w:color w:val="000000"/>
          <w:sz w:val="20"/>
        </w:rPr>
        <w:t>F-135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presented in the consolidated statements of operations and comprehensive loss. Therefore, duplication of the Company’s consolidated statements of operations and comprehensive in this segment disclosure is not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 All long-lived assets are located in the United States. Long-lived assets primarily consist of property and equipment, net, operating lease right-of-use assets and long-term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used in determining the reportable segment include the nature of the Company's operating activities, the organizational and reporting structure and the type of information reviewed by the CODM regularly to allocate resources and evaluate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intra-entity sales or transfers.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At-The-Market_Equity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Company issued 501,861 shares of common stock under the at-the-market sales agreement for gross proceeds of $5.1 million, before deducting estimated offering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March 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the Company entered into a subscription agreement with certain new and existing accredited investors to issue and sell an aggregate of 4,501,928 shares of its common stock at a purchase price of $11.11 per share and pre-funded warrants to purchase up to an aggregate 3,148,836 shares of its common stock per pre-funded warrant at a price of $11.109 per pre-funded warrant in a private placement that resulted in gross proceeds of approximately $85.0 million, before deducting placement agent fees and estimated offering expenses. The pre-funded warrants have an exercise price of $0.001 per share. The private placement closed on March 10,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9"/>
      <w:bookmarkEnd w:id="20"/>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1" w:name="item_9a"/>
      <w:bookmarkEnd w:id="21"/>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under the supervision and with the participation of our Principal Executive Officer (our Chief Executive Officer) and Interim Principal Financial Officer (our Chief Executive Officer), has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Principal Executive Officer and Interim Principal Financial Officer concluded that, as of such date, our disclosure controls and procedures were effective at the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 Management assessed the effectiveness of our internal control over financial reporting as of December 31, 2025. In making this assessment, it used the criteria established in Internal Control—Integrated Framework (2013) issued by the Committee of Sponsoring Organizations of the Treadway Commission (COSO). Based on such assessment, management has concluded that our internal control over financial reporting was effective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non-accelerated filer and a “smaller reporting company”, as defined in Rule 12b-2 under the Exchange Act, our independent registered public accounting firm is not required to issue an attestation report on the internal control over financial reporting.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discussed above, there have not been any changes in our internal control over financial reporting (as defined in Rules 13a-15(f) and 15d-15(f) under the Exchange Act) occurred during the twelve months ended December 31, 2025 that has materially affected, or is reasonably likely to materially affect, our internal control over financial reporting.</w:t>
      </w:r>
    </w:p>
    <w:p>
      <w:pPr>
        <w:pStyle w:val="TextBody"/>
        <w:bidi w:val="0"/>
        <w:spacing w:before="360" w:after="283"/>
        <w:jc w:val="left"/>
        <w:rPr>
          <w:rFonts w:ascii="Times New Roman" w:hAnsi="Times New Roman"/>
          <w:b/>
          <w:color w:val="000000"/>
          <w:sz w:val="20"/>
        </w:rPr>
      </w:pPr>
      <w:bookmarkStart w:id="22" w:name="item_9b"/>
      <w:bookmarkEnd w:id="22"/>
      <w:r>
        <w:rPr>
          <w:rFonts w:ascii="Times New Roman" w:hAnsi="Times New Roman"/>
          <w:b/>
          <w:color w:val="000000"/>
          <w:sz w:val="20"/>
        </w:rPr>
        <w:t>Item 9B.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2025, none of our officers (as defined in Rule 16a-1(f) under the Exchange Act) or directors informed us that they adopted contracts, instructions or written plans for the purchase or sale of our securities that were intended to satisfy the affirmative defense conditions of Rule 10b5-1(c) under the Exchange Act or a trading plan not intended to satisfy the affirmative defense conditions of Rule 10b5-1(c) under the Exchange Act.</w:t>
      </w:r>
    </w:p>
    <w:p>
      <w:pPr>
        <w:pStyle w:val="TextBody"/>
        <w:bidi w:val="0"/>
        <w:spacing w:before="360" w:after="283"/>
        <w:jc w:val="left"/>
        <w:rPr>
          <w:rFonts w:ascii="Times New Roman" w:hAnsi="Times New Roman"/>
          <w:b/>
          <w:color w:val="000000"/>
          <w:sz w:val="20"/>
        </w:rPr>
      </w:pPr>
      <w:bookmarkStart w:id="23" w:name="item_9c"/>
      <w:bookmarkEnd w:id="23"/>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360" w:after="283"/>
        <w:jc w:val="left"/>
        <w:rPr>
          <w:rFonts w:ascii="Times New Roman" w:hAnsi="Times New Roman"/>
          <w:b/>
          <w:color w:val="000000"/>
          <w:sz w:val="20"/>
        </w:rPr>
      </w:pPr>
      <w:bookmarkStart w:id="24" w:name="item_10"/>
      <w:bookmarkEnd w:id="24"/>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definitive proxy statement for our 2026 annual meeting of stockholders.</w:t>
      </w:r>
    </w:p>
    <w:p>
      <w:pPr>
        <w:pStyle w:val="TextBody"/>
        <w:bidi w:val="0"/>
        <w:spacing w:before="360" w:after="283"/>
        <w:jc w:val="left"/>
        <w:rPr>
          <w:rFonts w:ascii="Times New Roman" w:hAnsi="Times New Roman"/>
          <w:b/>
          <w:color w:val="000000"/>
          <w:sz w:val="20"/>
        </w:rPr>
      </w:pPr>
      <w:bookmarkStart w:id="25" w:name="item_11"/>
      <w:bookmarkEnd w:id="25"/>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definitive proxy statement for our 2026 annual meeting of stockholders.</w:t>
      </w:r>
    </w:p>
    <w:p>
      <w:pPr>
        <w:pStyle w:val="TextBody"/>
        <w:bidi w:val="0"/>
        <w:spacing w:before="360" w:after="283"/>
        <w:jc w:val="left"/>
        <w:rPr>
          <w:rFonts w:ascii="Times New Roman" w:hAnsi="Times New Roman"/>
          <w:b/>
          <w:color w:val="000000"/>
          <w:sz w:val="20"/>
        </w:rPr>
      </w:pPr>
      <w:bookmarkStart w:id="26" w:name="item_12"/>
      <w:bookmarkEnd w:id="26"/>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definitive proxy statement for our 2026 annual meeting of stockholders.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7" w:name="item_13"/>
      <w:bookmarkEnd w:id="27"/>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herein by reference to our definitive proxy statement for our 2026 annual meeting of stockholders. </w:t>
      </w:r>
    </w:p>
    <w:p>
      <w:pPr>
        <w:pStyle w:val="TextBody"/>
        <w:bidi w:val="0"/>
        <w:spacing w:before="360" w:after="283"/>
        <w:jc w:val="left"/>
        <w:rPr>
          <w:rFonts w:ascii="Times New Roman" w:hAnsi="Times New Roman"/>
          <w:b/>
          <w:color w:val="000000"/>
          <w:sz w:val="20"/>
        </w:rPr>
      </w:pPr>
      <w:bookmarkStart w:id="28" w:name="item_14"/>
      <w:bookmarkEnd w:id="28"/>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our definitive proxy statement for our 2026 annual meeting of stockholders.</w:t>
      </w:r>
    </w:p>
    <w:p>
      <w:pPr>
        <w:pStyle w:val="TextBody"/>
        <w:bidi w:val="0"/>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9" w:name="item_15"/>
      <w:bookmarkEnd w:id="29"/>
      <w:r>
        <w:rPr>
          <w:rFonts w:ascii="Times New Roman" w:hAnsi="Times New Roman"/>
          <w:b/>
          <w:color w:val="000000"/>
          <w:sz w:val="20"/>
        </w:rPr>
        <w:t>Item 15. Exhibit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For a list of the financial statements included herein, see the Index to the Consolidated Financial Statements in Item 8 on page F-110</w:t>
      </w:r>
      <w:r>
        <w:rPr>
          <w:color w:val="000000"/>
        </w:rPr>
        <w:t xml:space="preserve"> </w:t>
      </w:r>
      <w:r>
        <w:rPr>
          <w:rFonts w:ascii="Times New Roman" w:hAnsi="Times New Roman"/>
          <w:color w:val="000000"/>
          <w:sz w:val="20"/>
        </w:rPr>
        <w:t>of this Annual Report on Form 10-K, incorporated into this Item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 have been omitted because they are either not required or not applicable or the information is included in the consolidated financial statements or the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Restated Certificate of Incorporation (incorporated by reference to Exhibit 3.1 to the registrant’s Current Report on Form 8-K filed on October 7,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Certificate of Amendment to Restated Certificate of Incorporation (incorporated by reference to Exhibit 3.1 to the registrant’s Current Report on Form 8-K filed on November 6,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Certificate of Amendment to Restated Certificate of Incorporation (incorporated by reference to Exhibit 3.2 to the registrant’s Current Report on Form 8-K filed on November 6,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Certificate of Amendment to Restated Certificate of Incorporation (incorporated by reference to Exhibit 3.1 to the registrant’s Current Report on Form 8-K filed on June 12,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Amended and Restated Bylaws (incorporated by reference to Exhibit 3.1 to the registrant’s Current Report on Form 8-K filed on September 23,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Description of Securities (incorporated by reference to Exhibit 4.1 to the registrant’s Annual Report on Form 10-K filed on March 26,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Korro Bio, Inc. 2023 Stock Option and Incentive Plan, and form of award agreements thereunder (incorporated by reference to Exhibit 10.1 to the registrant’s Registration Statement on Form S-1/A filed December 20,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Korro Bio, Inc. 2023 Employee Stock Purchase Plan (incorporated by reference to Exhibit 10.2 to the registrant’s Registration Statement on Form S-1/A filed December 1,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Korro Bio, Inc. 2019 Stock Incentive Plan, and form of award agreements thereunder (incorporated by reference to Exhibit 10.8 to the registrant’s Current Report on Form 8-K filed on November 6,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Korro Bio, Inc. Amended and Restated Non-Employee Director Compensation Policy (incorporated by reference to Exhibit 10.4 to the registrant's Annual Report on Form 10-K filed on March 18, 2025)</w:t>
              </w:r>
            </w:hyperlink>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Frequency Therapeutics, Inc. 2014 Stock Incentive Plan, as amended, and form of option agreements thereunder (incorporated by reference to Exhibit 10.1 to the registrant’s Registration Statement on Form S-1 (333-233652) filed on September 6,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Frequency Therapeutics, Inc. 2019 Incentive Award Plan and form of award agreements thereunder (incorporated by reference to Exhibit 10.2 to the registrant’s Registration Statement on Form S-1/A (333-233652) filed on September 23,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Korro Bio, Inc. Senior Executive Cash Incentive Bonus Plan (incorporated by reference to Exhibit 10.12 to the</w:t>
              </w:r>
            </w:hyperlink>
            <w:hyperlink r:id="rId39">
              <w:r>
                <w:rPr>
                  <w:rStyle w:val="InternetLink"/>
                  <w:rFonts w:ascii="Times New Roman" w:hAnsi="Times New Roman"/>
                  <w:color w:val="0000FF"/>
                  <w:sz w:val="20"/>
                </w:rPr>
                <w:t xml:space="preserve"> </w:t>
              </w:r>
            </w:hyperlink>
            <w:r>
              <w:rPr>
                <w:rFonts w:ascii="Times New Roman" w:hAnsi="Times New Roman"/>
                <w:color w:val="0000FF"/>
                <w:sz w:val="20"/>
                <w:u w:val="single"/>
              </w:rPr>
              <w:t xml:space="preserve">registrant’s Current Report on </w:t>
            </w:r>
            <w:hyperlink r:id="rId40">
              <w:r>
                <w:rPr>
                  <w:rStyle w:val="InternetLink"/>
                  <w:rFonts w:ascii="Times New Roman" w:hAnsi="Times New Roman"/>
                  <w:color w:val="000080"/>
                  <w:sz w:val="20"/>
                  <w:u w:val="single"/>
                </w:rPr>
                <w:t>Form 8-K, filed November 6,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Employment Agreement, dated as of November 10, 2023, by and between Korro Bio, Inc. and Ram Aiyar, Ph.D. (incorporated by reference to Exhibit 10.1 to the registrant's Current Report on Form 8-K filed November 14,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Amended and Restated Employment Agreement, dated December 15, 2025, by and between Korro Bio, Inc. and Jeffrey Cerio (incorporated by reference to Exhibit 10.1 to the registrant’s Current Report on Form 8-K filed December 18,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Employment Agreement, dated November 9, 2023, by and between Korro Bio, Inc. and Todd Chappell (incorporated by reference to Exhibit 10.13 to the registrant’s Registration Statement on Form S-1/A filed December 1,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Employment Agreement, dated March 15, 2025, by and between Korro Bio, Inc. and Loϊc Vincent (incorporated by reference to Exhibit 10.1 to the registrant’s Quarterly Report on Form 10-Q filed May 7,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Separation Agreement and Release by and between Korro Bio, Inc. and Vineet Agarwal, dated October 7, 2025 (incorporated by reference to Exhibit 10.1 to the registrant’s Current Report on Form 8-K filed on October 8, 2025)</w:t>
              </w:r>
            </w:hyperlink>
            <w:r>
              <w:rPr>
                <w:rFonts w:ascii="Times New Roman" w:hAnsi="Times New Roman"/>
                <w:color w:val="000000"/>
                <w:sz w:val="20"/>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Separation Agreement and Release by and between Korro Bio, Inc. and Olukemi A. Olugemo, dated November 7, 2025 (incorporated by reference to Exhibit 10.3 to the registrant’s Quarterly Report on Form 10-Q filed November 12,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Consulting Agreement, dated August 26, 2024 between Korro Bio, Inc. and David Lucchino (incorporated by reference to Exhibit 10.3 to the registrant’s Quarterly Report on Form 10-Q filed November 12,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Indemnification Agreement for Officers of Korro Bio, Inc. (incorporated by reference to Exhibit 10.6 to the registrant's Current Report on Form 8-K filed November 6, 2023).</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
        <w:gridCol w:w="146"/>
        <w:gridCol w:w="9367"/>
      </w:tblGrid>
      <w:tr>
        <w:trPr/>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7" w:type="dxa"/>
            <w:tcBorders/>
            <w:vAlign w:val="center"/>
          </w:tcPr>
          <w:p>
            <w:pPr>
              <w:pStyle w:val="TableContents"/>
              <w:bidi w:val="0"/>
              <w:spacing w:before="0" w:after="283"/>
              <w:jc w:val="left"/>
              <w:rPr>
                <w:sz w:val="4"/>
                <w:szCs w:val="4"/>
              </w:rPr>
            </w:pPr>
            <w:r>
              <w:rPr>
                <w:sz w:val="4"/>
                <w:szCs w:val="4"/>
              </w:rPr>
            </w:r>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Form of Indemnification Agreement for Directors of Korro Bio, Inc. (incorporated by reference to Exhibit 10.7 to the registrant's Current Report on Form 8-K filed November 6, 2023).</w:t>
              </w:r>
            </w:hyperlink>
          </w:p>
        </w:tc>
      </w:tr>
      <w:tr>
        <w:trPr/>
        <w:tc>
          <w:tcPr>
            <w:tcW w:w="692"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10.17</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Lease Agreement, dated April 25, 2022 between Korro Bio Ops, Inc. (formerly known as Korro Bio, Inc.) and NW Cambridge Property Owner LLC (incorporated by reference to Exhibit 10.2 to the registrant’s Quarterly Report on Form 10-Q filed November 12, 2024).</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Third Amended and Restated Investors’ Rights Agreement of Korro Bio, Inc., dated November 8, 2021 (incorporated by reference to Exhibit 10.27 to the Form S-4/A (333-273490) filed September 1, 2023).</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Warrant Agreement dated January 22, 2021 (incorporated by reference to Exhibit 10.13 to the registrant's Current Report on Form 8-K, filed November 6, 2023).</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Contingent Value Rights Agreement dated November 3, 2023 (incorporated by reference to Exhibit 10.4 to the registrant's Current Report on Form 8-K filed November 6, 2023).</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Registration Rights Agreement, dated as of July 14, 2023 (incorporated by reference to Exhibit 10.2 to the registrant’s Current Report on Form 8-K filed on November 6, 2023).</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Registration Rights Agreement, dated as of April 17, 2024 (incorporated by reference to Exhibit 10.2 to the registrant’s Current Report on Form 8-K filed on April 18, 2024)</w:t>
              </w:r>
            </w:hyperlink>
            <w:r>
              <w:rPr>
                <w:rFonts w:ascii="Times New Roman" w:hAnsi="Times New Roman"/>
                <w:color w:val="000000"/>
                <w:sz w:val="20"/>
              </w:rPr>
              <w:t>.</w:t>
            </w:r>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Sales agreement, dated December 2, 2024, by and between Korro Bio, Inc. and TD Securities (USA) LLC (incorporated by reference to Exhibit 1.2 to the registrant’s Registration Statement on Form S-3 (333-283552) filed on December 2, 2024).</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Pre-Funded Warrant, dated March 9 2026, by and among Korro Bio, Inc. and the purchasers party thereto (incorporated by reference to Exhibit 4.1 to the registrant's Current Report on Form 8-K filed March 9, 2026).</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Subscription Agreement, dated March 9 2026, by and among Korro Bio, Inc. and the purchasers party thereto (incorporated by reference to Exhibit 10.1 to the registrant's Current Report on Form 8-K filed March 9, 2026).</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Registration Rights Agreement, dated March 9 2026, by and among Korro Bio, Inc. and the purchasers party thereto (incorporated by reference to Exhibit 10.2 to the registrant's Current Report on Form 8-K filed March 9, 2026).</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Research Collaboration and License Agreement, dated September 13, 2024 between Korro Bio, Inc. and Novo Nordisk A/S (incorporated by reference to Exhibit 10.1 to the registrant’s Quarterly Report on Form 10-Q filed November 12, 2024).</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First Amendment to Research Collaboration and License Agreement by and between Korro Bio, Inc. and Novo Nordisk A/S (incorporated by reference to Exhibit 10.2 to the registrant’s Quarterly Report on Form 10-Q filed November 12, 2025).</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Korro Bio, Inc. Insider Trading Policy (incorporated by reference to Exhibit 19.1 to the registrant's Annual Report on Form 10-K filed March 18, 2025)</w:t>
              </w:r>
            </w:hyperlink>
            <w:r>
              <w:rPr>
                <w:rFonts w:ascii="Times New Roman" w:hAnsi="Times New Roman"/>
                <w:color w:val="000000"/>
                <w:sz w:val="20"/>
              </w:rPr>
              <w:t>.</w:t>
            </w:r>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List of Subsidiaries (incorporated by reference to Exhibit 21.1 to the registrant's Annual Report on Form 10-K filed March 18, 2025).</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23_1.htm">
              <w:r>
                <w:rPr>
                  <w:rStyle w:val="InternetLink"/>
                  <w:rFonts w:ascii="Times New Roman" w:hAnsi="Times New Roman"/>
                  <w:color w:val="0000FF"/>
                  <w:sz w:val="20"/>
                  <w:u w:val="single"/>
                </w:rPr>
                <w:t>Consent of Ernst &amp; Young LLP.</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Power of Attorney (included on the signature page attached hereto)</w:t>
              </w:r>
            </w:hyperlink>
            <w:r>
              <w:rPr>
                <w:rFonts w:ascii="Times New Roman" w:hAnsi="Times New Roman"/>
                <w:color w:val="000000"/>
                <w:sz w:val="20"/>
              </w:rPr>
              <w:t>.</w:t>
            </w:r>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31_1.htm">
              <w:r>
                <w:rPr>
                  <w:rStyle w:val="InternetLink"/>
                  <w:rFonts w:ascii="Times New Roman" w:hAnsi="Times New Roman"/>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rr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Korro Bio, Inc. Compensation Recovery Policy (incorporated by reference to Exhibit 97.1 to the registrant’s Annual Report on Form 10-K filed March 26, 2024).</w:t>
              </w:r>
            </w:hyperlink>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rFonts w:ascii="Times New Roman" w:hAnsi="Times New Roman"/>
          <w:color w:val="000000"/>
          <w:sz w:val="20"/>
        </w:rPr>
      </w:pPr>
      <w:r>
        <w:rPr>
          <w:rFonts w:ascii="Times New Roman" w:hAnsi="Times New Roman"/>
          <w:color w:val="000000"/>
          <w:sz w:val="20"/>
        </w:rPr>
        <w:t>+ Schedules and exhibits have been omitted pursuant to Item 601(b)(2) of Regulation S-K. We agree to furnish supplementally a copy of any omitted schedule or exhibit to the SEC upon request.</w:t>
      </w:r>
    </w:p>
    <w:p>
      <w:pPr>
        <w:pStyle w:val="TextBody"/>
        <w:bidi w:val="0"/>
        <w:jc w:val="left"/>
        <w:rPr>
          <w:rFonts w:ascii="Times New Roman" w:hAnsi="Times New Roman"/>
          <w:color w:val="000000"/>
          <w:sz w:val="20"/>
        </w:rPr>
      </w:pPr>
      <w:r>
        <w:rPr>
          <w:rFonts w:ascii="Times New Roman" w:hAnsi="Times New Roman"/>
          <w:color w:val="000000"/>
          <w:sz w:val="20"/>
        </w:rPr>
        <w:t> Schedules and exhibits have been omitted pursuant to Item 601(a)(5) of Regulation S-K. A copy of any omitted schedule and/or exhibit will be furnished to the SEC upon request.</w:t>
      </w:r>
    </w:p>
    <w:p>
      <w:pPr>
        <w:pStyle w:val="TextBody"/>
        <w:bidi w:val="0"/>
        <w:jc w:val="left"/>
        <w:rPr>
          <w:rFonts w:ascii="Times New Roman" w:hAnsi="Times New Roman"/>
          <w:color w:val="000000"/>
          <w:sz w:val="20"/>
        </w:rPr>
      </w:pPr>
      <w:r>
        <w:rPr>
          <w:rFonts w:ascii="Times New Roman" w:hAnsi="Times New Roman"/>
          <w:color w:val="000000"/>
          <w:sz w:val="20"/>
        </w:rPr>
        <w:t>¥ These certifications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will be omitted in accordance with the rules of the SEC because the registrant has determined that information is both not material and is the type that the registrant treats as private or confidential.</w:t>
      </w:r>
    </w:p>
    <w:p>
      <w:pPr>
        <w:pStyle w:val="TextBody"/>
        <w:bidi w:val="0"/>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0" w:name="item_16"/>
      <w:bookmarkEnd w:id="30"/>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color w:val="000000"/>
          <w:sz w:val="20"/>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signature"/>
      <w:bookmarkEnd w:id="31"/>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9164" w:type="dxa"/>
        <w:jc w:val="left"/>
        <w:tblInd w:w="0" w:type="dxa"/>
        <w:tblLayout w:type="fixed"/>
        <w:tblCellMar>
          <w:top w:w="28" w:type="dxa"/>
          <w:left w:w="28" w:type="dxa"/>
          <w:bottom w:w="28" w:type="dxa"/>
          <w:right w:w="28" w:type="dxa"/>
        </w:tblCellMar>
      </w:tblPr>
      <w:tblGrid>
        <w:gridCol w:w="1891"/>
        <w:gridCol w:w="146"/>
        <w:gridCol w:w="406"/>
        <w:gridCol w:w="672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Korro Bio,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 Aiyar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 and Interim 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Ram Aiyar and Oliver Dolan, and each of them, as his or her true and lawful attorneys-in-fact and agents, each with the full power of substitution, for him or her and in his or her name, place or stead,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in the capacities and on the dates indicated.</w:t>
      </w:r>
    </w:p>
    <w:p>
      <w:pPr>
        <w:pStyle w:val="TextBody"/>
        <w:bidi w:val="0"/>
        <w:jc w:val="left"/>
        <w:rPr/>
      </w:pPr>
      <w:r>
        <w:rPr/>
        <w:t> </w:t>
      </w:r>
    </w:p>
    <w:tbl>
      <w:tblPr>
        <w:tblW w:w="9228" w:type="dxa"/>
        <w:jc w:val="left"/>
        <w:tblInd w:w="0" w:type="dxa"/>
        <w:tblLayout w:type="fixed"/>
        <w:tblCellMar>
          <w:top w:w="28" w:type="dxa"/>
          <w:left w:w="28" w:type="dxa"/>
          <w:bottom w:w="28" w:type="dxa"/>
          <w:right w:w="28" w:type="dxa"/>
        </w:tblCellMar>
      </w:tblPr>
      <w:tblGrid>
        <w:gridCol w:w="2221"/>
        <w:gridCol w:w="146"/>
        <w:gridCol w:w="5311"/>
        <w:gridCol w:w="109"/>
        <w:gridCol w:w="144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 Interim Principal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 Aiyar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/s/Oliver Dolan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Finance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Oliver Dolan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 Behbahani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Behbahani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Nessan Bermingham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Nessan Bermingham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Jean-Francois Formela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Jean-Francois Formela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Katharine Knobil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Katharine Knobil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Rachel Meyers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Rachel Meyers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Timothy Pearson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Timothy Pearson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right"/>
        <w:rPr/>
      </w:pPr>
      <w:bookmarkStart w:id="32" w:name="krro-ex23_1.htm"/>
      <w:bookmarkStart w:id="33" w:name="kskrroex23_1"/>
      <w:bookmarkEnd w:id="32"/>
      <w:bookmarkEnd w:id="33"/>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23.1</w:t>
      </w:r>
    </w:p>
    <w:p>
      <w:pPr>
        <w:pStyle w:val="TextBody"/>
        <w:bidi w:val="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consent to the incorporation by reference in the following Registration Statements: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(Form S-1 No. 333-248474) of Frequency Therapeutics,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(Form S-1 No. 333-279402) of Korro Bio,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Registration Statement (Form S-3 No. 333-275353) of Korro Bio, Inc.,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(Form S-3 No. 333-283552) of Korro Bio,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(Form S-8 No. 333-234128) pertaining to the 2014 Stock Incentive Plan, as amended, 2019 Incentive Award Plan and 2019 Employee Stock Purchase Plan of Frequency Therapeutics,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(Form S-8 No. 333-263643) pertaining to the 2019 Incentive Award Plan and 2019 Employee Stock Purchase Plan of Frequency Therapeutics,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(Form S-8 No. 333-275354) pertaining to the 2019 Stock Incentive Plan, 2023 Stock Option and Incentive Plan, and 2023 Employee Stock Purchase Plan of Korro Bio,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(Form S-8 No. 333-278245) pertaining to the 2023 Stock Option and Incentive Plan and 2023 Employee Stock Purchase Plan of Korro Bio, Inc.,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Registration Statement (Form S-8 No. 333-285873) pertaining to the 2023 Stock Option and Incentive Plan and 2023 Employee Stock Purchase Plan of Korro Bio, Inc.,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rFonts w:ascii="Times New Roman" w:hAnsi="Times New Roman"/>
          <w:color w:val="000000"/>
          <w:sz w:val="22"/>
        </w:rPr>
      </w:pPr>
      <w:r>
        <w:rPr>
          <w:rFonts w:ascii="Times New Roman" w:hAnsi="Times New Roman"/>
          <w:color w:val="000000"/>
          <w:sz w:val="22"/>
        </w:rPr>
        <w:t>Registration Statement (Form S-8 No. 333-292984) pertaining to the 2023 Stock Option and Incentive Plan and 2023 Employee Stock Purchase Plan of Korro Bio,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of our report dated March 12, 2026, with respect to the consolidated financial statements of Korro Bio, Inc., included in this Annual Report (Form 10-K) of Korro Bio, Inc. for the year ended December 31, 2025.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 Ernst &amp; Young LLP</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Boston, Massachusetts</w:t>
      </w:r>
    </w:p>
    <w:p>
      <w:pPr>
        <w:pStyle w:val="TextBody"/>
        <w:bidi w:val="0"/>
        <w:jc w:val="both"/>
        <w:rPr>
          <w:rFonts w:ascii="Times New Roman" w:hAnsi="Times New Roman"/>
          <w:color w:val="000000"/>
          <w:sz w:val="22"/>
        </w:rPr>
      </w:pPr>
      <w:r>
        <w:rPr>
          <w:rFonts w:ascii="Times New Roman" w:hAnsi="Times New Roman"/>
          <w:color w:val="000000"/>
          <w:sz w:val="22"/>
        </w:rPr>
        <w:t>March 12, 2026</w:t>
      </w:r>
    </w:p>
    <w:p>
      <w:pPr>
        <w:pStyle w:val="TextBody"/>
        <w:bidi w:val="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4" w:name="krro-ex31_1.htm"/>
      <w:bookmarkStart w:id="35" w:name="kskrroex31_1"/>
      <w:bookmarkEnd w:id="34"/>
      <w:bookmarkEnd w:id="35"/>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31.1</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OF PRINCIPAL EXECUTIVE OFFICER AND PRINCIPAL FINANCIAL OFFICER PURSUANT TO RULE 13a-14(a) / RULE 15d-14(a) OF THE SECURITIES EXCHANGE ACT OF 1934, AS AMENDED</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 Ram Aiyar, certify that: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I have reviewed this Annual Report on Form 10-K for the fiscal year ended December 31, 2025 of Korro Bio, Inc. (the “registrant”);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w:t>
      </w:r>
    </w:p>
    <w:p>
      <w:pPr>
        <w:pStyle w:val="TextBody"/>
        <w:bidi w:val="0"/>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tbl>
      <w:tblPr>
        <w:tblW w:w="5502" w:type="dxa"/>
        <w:jc w:val="left"/>
        <w:tblInd w:w="0" w:type="dxa"/>
        <w:tblLayout w:type="fixed"/>
        <w:tblCellMar>
          <w:top w:w="28" w:type="dxa"/>
          <w:left w:w="28" w:type="dxa"/>
          <w:bottom w:w="28" w:type="dxa"/>
          <w:right w:w="28" w:type="dxa"/>
        </w:tblCellMar>
      </w:tblPr>
      <w:tblGrid>
        <w:gridCol w:w="161"/>
        <w:gridCol w:w="5341"/>
      </w:tblGrid>
      <w:tr>
        <w:trPr/>
        <w:tc>
          <w:tcPr>
            <w:tcW w:w="161"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Ram Aiyar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Ram Aiyar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(Principal Executive Officer and Interim Principal Financial Officer)</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Dated: March 12,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6" w:name="krro-ex32_1.htm"/>
      <w:bookmarkStart w:id="37" w:name="kskrroex32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on Form 10-K of Korro Bio, Inc. (the “Company”) for the fiscal year ended December 31, 2025 as filed with the Securities and Exchange Commission on the date hereof (the “Report”), the undersigned hereby certifies, pursuant to 18 U.S.C. Section 1350, that, to the best of his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Ram Aiyar </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 Aiyar</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 and Interim Principal Financial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Dated: March 12, 2026</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This certification accompanies the Form 10-K to which it relates, is not deemed filed with the Securities and Exchange Commission and is not to be incorporated by reference into any filing of Korro Bio, Inc. under the Securities Act of 1933, as amended, or the Exchange Act (whether made before or after the date of the Form 10-K),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gif"/><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gif"/><Relationship Id="rId25" Type="http://schemas.openxmlformats.org/officeDocument/2006/relationships/image" Target="media/image23.gif"/><Relationship Id="rId26" Type="http://schemas.openxmlformats.org/officeDocument/2006/relationships/hyperlink" Target="https://www.sec.gov/Archives/edgar/data/1703647/000119312519263787/d796545dex31.htm" TargetMode="External"/><Relationship Id="rId27" Type="http://schemas.openxmlformats.org/officeDocument/2006/relationships/hyperlink" Target="https://www.sec.gov/Archives/edgar/data/1703647/000119312523270898/d549338dex31.htm" TargetMode="External"/><Relationship Id="rId28" Type="http://schemas.openxmlformats.org/officeDocument/2006/relationships/hyperlink" Target="https://www.sec.gov/Archives/edgar/data/1703647/000119312523270898/d549338dex32.htm" TargetMode="External"/><Relationship Id="rId29" Type="http://schemas.openxmlformats.org/officeDocument/2006/relationships/hyperlink" Target="https://www.sec.gov/Archives/edgar/data/1703647/000119312524159933/d844802dex31.htm" TargetMode="External"/><Relationship Id="rId30" Type="http://schemas.openxmlformats.org/officeDocument/2006/relationships/hyperlink" Target="https://www.sec.gov/Archives/edgar/data/1703647/000119312520253994/d62983dex31.htm" TargetMode="External"/><Relationship Id="rId31" Type="http://schemas.openxmlformats.org/officeDocument/2006/relationships/hyperlink" Target="https://www.sec.gov/Archives/edgar/data/1703647/000095017024036396/krro-ex4_1.htm" TargetMode="External"/><Relationship Id="rId32" Type="http://schemas.openxmlformats.org/officeDocument/2006/relationships/hyperlink" Target="https://www.sec.gov/Archives/edgar/data/1703647/000119312523299978/d597314dex101.htm" TargetMode="External"/><Relationship Id="rId33" Type="http://schemas.openxmlformats.org/officeDocument/2006/relationships/hyperlink" Target="https://www.sec.gov/Archives/edgar/data/1703647/000119312523287451/d597314dex102.htm" TargetMode="External"/><Relationship Id="rId34" Type="http://schemas.openxmlformats.org/officeDocument/2006/relationships/hyperlink" Target="https://www.sec.gov/Archives/edgar/data/1703647/000119312523270898/d549338dex108.htm" TargetMode="External"/><Relationship Id="rId35" Type="http://schemas.openxmlformats.org/officeDocument/2006/relationships/hyperlink" Target="https://www.sec.gov/Archives/edgar/data/1703647/000095017025040759/krro-ex10_4.htm" TargetMode="External"/><Relationship Id="rId36" Type="http://schemas.openxmlformats.org/officeDocument/2006/relationships/hyperlink" Target="https://www.sec.gov/Archives/edgar/data/1703647/000119312519239976/d72917dex101.htm" TargetMode="External"/><Relationship Id="rId37" Type="http://schemas.openxmlformats.org/officeDocument/2006/relationships/hyperlink" Target="https://www.sec.gov/Archives/edgar/data/1703647/000119312519251257/d72917dex102.htm" TargetMode="External"/><Relationship Id="rId38" Type="http://schemas.openxmlformats.org/officeDocument/2006/relationships/hyperlink" Target="https://www.sec.gov/Archives/edgar/data/1703647/000119312523270898/d549338dex1012.htm" TargetMode="External"/><Relationship Id="rId39" Type="http://schemas.openxmlformats.org/officeDocument/2006/relationships/hyperlink" Target="https://www.sec.gov/Archives/edgar/data/1703647/000119312523270898/d549338dex1012.htm" TargetMode="External"/><Relationship Id="rId40" Type="http://schemas.openxmlformats.org/officeDocument/2006/relationships/hyperlink" Target="https://www.sec.gov/Archives/edgar/data/1703647/000119312523270898/d549338dex1012.htm" TargetMode="External"/><Relationship Id="rId41" Type="http://schemas.openxmlformats.org/officeDocument/2006/relationships/hyperlink" Target="https://www.sec.gov/Archives/edgar/data/1703647/000119312523277147/d416540dex101.htm" TargetMode="External"/><Relationship Id="rId42" Type="http://schemas.openxmlformats.org/officeDocument/2006/relationships/hyperlink" Target="https://www.sec.gov/Archives/edgar/data/1703647/000119312525324795/krro-ex10_1.htm" TargetMode="External"/><Relationship Id="rId43" Type="http://schemas.openxmlformats.org/officeDocument/2006/relationships/hyperlink" Target="https://www.sec.gov/Archives/edgar/data/1703647/000119312523287451/d597314dex1013.htm" TargetMode="External"/><Relationship Id="rId44" Type="http://schemas.openxmlformats.org/officeDocument/2006/relationships/hyperlink" Target="https://www.sec.gov/Archives/edgar/data/1703647/000095017025065800/krro-ex10_1.htm" TargetMode="External"/><Relationship Id="rId45" Type="http://schemas.openxmlformats.org/officeDocument/2006/relationships/hyperlink" Target="https://www.sec.gov/Archives/edgar/data/1703647/000119312525234001/krro-ex10_1.htm" TargetMode="External"/><Relationship Id="rId46" Type="http://schemas.openxmlformats.org/officeDocument/2006/relationships/hyperlink" Target="https://www.sec.gov/Archives/edgar/data/1703647/000119312525277572/krro-ex10_3.htm" TargetMode="External"/><Relationship Id="rId47" Type="http://schemas.openxmlformats.org/officeDocument/2006/relationships/hyperlink" Target="https://www.sec.gov/Archives/edgar/data/1703647/000095017024125362/krro-ex10_3.htm" TargetMode="External"/><Relationship Id="rId48" Type="http://schemas.openxmlformats.org/officeDocument/2006/relationships/hyperlink" Target="https://www.sec.gov/Archives/edgar/data/1703647/000119312523270898/d549338dex106.htm" TargetMode="External"/><Relationship Id="rId49" Type="http://schemas.openxmlformats.org/officeDocument/2006/relationships/hyperlink" Target="https://www.sec.gov/Archives/edgar/data/1703647/000119312523270898/d549338dex107.htm" TargetMode="External"/><Relationship Id="rId50" Type="http://schemas.openxmlformats.org/officeDocument/2006/relationships/hyperlink" Target="https://www.sec.gov/Archives/edgar/data/1703647/000095017024125362/krro-ex10_2.htm" TargetMode="External"/><Relationship Id="rId51" Type="http://schemas.openxmlformats.org/officeDocument/2006/relationships/hyperlink" Target="https://www.sec.gov/Archives/edgar/data/1703647/000119312523226463/d451428dex1027.htm" TargetMode="External"/><Relationship Id="rId52" Type="http://schemas.openxmlformats.org/officeDocument/2006/relationships/hyperlink" Target="https://www.sec.gov/Archives/edgar/data/1703647/000119312523270898/d549338dex1013.htm" TargetMode="External"/><Relationship Id="rId53" Type="http://schemas.openxmlformats.org/officeDocument/2006/relationships/hyperlink" Target="https://www.sec.gov/Archives/edgar/data/1703647/000119312523270898/d549338dex104.htm" TargetMode="External"/><Relationship Id="rId54" Type="http://schemas.openxmlformats.org/officeDocument/2006/relationships/hyperlink" Target="https://www.sec.gov/Archives/edgar/data/1703647/000119312523270898/d549338dex102.htm" TargetMode="External"/><Relationship Id="rId55" Type="http://schemas.openxmlformats.org/officeDocument/2006/relationships/hyperlink" Target="https://www.sec.gov/Archives/edgar/data/1703647/000119312524100069/d803577dex102.htm" TargetMode="External"/><Relationship Id="rId56" Type="http://schemas.openxmlformats.org/officeDocument/2006/relationships/hyperlink" Target="https://www.sec.gov/Archives/edgar/data/1703647/000119312524268934/d854612dex12.htm" TargetMode="External"/><Relationship Id="rId57" Type="http://schemas.openxmlformats.org/officeDocument/2006/relationships/hyperlink" Target="https://www.sec.gov/Archives/edgar/data/1703647/000119312526097575/krro-ex4_1.htm" TargetMode="External"/><Relationship Id="rId58" Type="http://schemas.openxmlformats.org/officeDocument/2006/relationships/hyperlink" Target="https://www.sec.gov/Archives/edgar/data/1703647/000119312526097575/krro-ex10_1.htm" TargetMode="External"/><Relationship Id="rId59" Type="http://schemas.openxmlformats.org/officeDocument/2006/relationships/hyperlink" Target="https://www.sec.gov/Archives/edgar/data/1703647/000119312526097575/krro-ex10_2.htm" TargetMode="External"/><Relationship Id="rId60" Type="http://schemas.openxmlformats.org/officeDocument/2006/relationships/hyperlink" Target="https://www.sec.gov/Archives/edgar/data/1703647/000095017024125362/krro-ex10_1.htm" TargetMode="External"/><Relationship Id="rId61" Type="http://schemas.openxmlformats.org/officeDocument/2006/relationships/hyperlink" Target="https://www.sec.gov/Archives/edgar/data/1703647/000119312525277572/krro-ex10_2.htm" TargetMode="External"/><Relationship Id="rId62" Type="http://schemas.openxmlformats.org/officeDocument/2006/relationships/hyperlink" Target="https://www.sec.gov/Archives/edgar/data/1703647/000095017025040759/krro-ex19_1.htm" TargetMode="External"/><Relationship Id="rId63" Type="http://schemas.openxmlformats.org/officeDocument/2006/relationships/hyperlink" Target="https://www.sec.gov/Archives/edgar/data/1703647/000095017025040759/krro-ex21_1.htm" TargetMode="External"/><Relationship Id="rId64" Type="http://schemas.openxmlformats.org/officeDocument/2006/relationships/hyperlink" Target="https://www.sec.gov/Archives/edgar/data/1703647/000095017024036396/krro-ex97_1.htm"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98358</Words>
  <Characters>556880</Characters>
  <CharactersWithSpaces>655533</CharactersWithSpaces>
  <Paragraphs>6551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