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Lynx1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D81 CALLE 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 PMB 1202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DORADO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00646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STATES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Korro Bio, Inc.</w:t>
              </w:r>
            </w:hyperlink>
            <w:r>
              <w:rPr/>
              <w:t xml:space="preserve"> [ </w:t>
            </w:r>
            <w:r>
              <w:rPr>
                <w:rFonts w:ascii="Times;serif" w:hAnsi="Times;serif"/>
                <w:color w:val="0000FF"/>
                <w:sz w:val="24"/>
                <w:shd w:fill="FFFFFF" w:val="clear"/>
              </w:rPr>
              <w:t>KRRO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0"/>
        <w:gridCol w:w="780"/>
        <w:gridCol w:w="604"/>
        <w:gridCol w:w="341"/>
        <w:gridCol w:w="816"/>
        <w:gridCol w:w="428"/>
        <w:gridCol w:w="981"/>
        <w:gridCol w:w="1252"/>
        <w:gridCol w:w="969"/>
        <w:gridCol w:w="10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 per share</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5,222</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11.3998</w:t>
            </w:r>
            <w:r>
              <w:rPr>
                <w:rFonts w:ascii="Times;serif" w:hAnsi="Times;serif"/>
                <w:color w:val="008000"/>
                <w:position w:val="7"/>
                <w:sz w:val="16"/>
                <w:sz w:val="20"/>
                <w:shd w:fill="FFFFFF" w:val="clear"/>
              </w:rPr>
              <w:t>(2)</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1,543,518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 per share</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1,462</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13.1869</w:t>
            </w:r>
            <w:r>
              <w:rPr>
                <w:rFonts w:ascii="Times;serif" w:hAnsi="Times;serif"/>
                <w:color w:val="008000"/>
                <w:position w:val="7"/>
                <w:sz w:val="16"/>
                <w:sz w:val="20"/>
                <w:shd w:fill="FFFFFF" w:val="clear"/>
              </w:rPr>
              <w:t>(3)</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1,544,980</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Lynx1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D81 CALLE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 PMB 1202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DORADO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00646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STATES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Nichols Weston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D81 CALLE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 PMB 1202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DORADO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00646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STATES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to which this filing relates are held directly by Lynx1 Master Fund LP to which Lynx1 Capital Management LP (the "Investment Manager") serves as investment manager. Weston Nichols ("Mr. Nichols") is the sole member of Lynx1 Capital Management GP LLC, the general partner of the Investment Manager. Each of the Investment Manager and Mr. Nichols disclaims beneficial ownership of the securities to which this filing relates for purposes of Section 16 of the Securities and Exchange Act of 1934, as amended, except to the extent of his or its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$11.39 to $11.40 inclusive. The Reporting Persons undertake to provide to the Issuer, any security holder of the Issuer, or the staff of the Securities and Exchange Commission (the "SEC"), upon request, full information regarding the number of shares purchased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at prices ranging from $13.11 to $13.50 inclusive. The Reporting Persons undertake to provide to the Issuer, any security holder of the Issuer, or the staff of the SEC, upon request, full information regarding the number of shares purchased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Lynx1 Capital Management LP, By: Lynx1 Capital Management GP LLC, its general partner, By: /s/ Weston Nichols, Sole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Weston Nichols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0456" TargetMode="External"/><Relationship Id="rId5" Type="http://schemas.openxmlformats.org/officeDocument/2006/relationships/hyperlink" Target="http://www.sec.gov/cgi-bin/browse-edgar?action=getcompany&amp;CIK=0001703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10456" TargetMode="External"/><Relationship Id="rId9" Type="http://schemas.openxmlformats.org/officeDocument/2006/relationships/hyperlink" Target="http://www.sec.gov/cgi-bin/browse-edgar?action=getcompany&amp;CIK=0001746376"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907</Words>
  <Characters>4853</Characters>
  <CharactersWithSpaces>5648</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