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Lynx1 Capital Management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D81 CALLE 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301 PMB 1202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Korro 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KRRO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7"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920" w:type="dxa"/>
            <w:vAlign w:val="bottom"/>
            <w:gridSpan w:val="11"/>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gridSpan w:val="2"/>
          </w:tcPr>
          <w:p>
            <w:pPr>
              <w:spacing w:after="0"/>
              <w:rPr>
                <w:sz w:val="20"/>
                <w:szCs w:val="20"/>
                <w:color w:val="auto"/>
              </w:rPr>
            </w:pPr>
            <w:r>
              <w:rPr>
                <w:rFonts w:ascii="Arial" w:cs="Arial" w:eastAsia="Arial" w:hAnsi="Arial"/>
                <w:sz w:val="13"/>
                <w:szCs w:val="13"/>
                <w:color w:val="auto"/>
              </w:rPr>
              <w:t>Line)</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DORADO</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PR</w:t>
            </w:r>
          </w:p>
        </w:tc>
        <w:tc>
          <w:tcPr>
            <w:tcW w:w="13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00646</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80"/>
              <w:spacing w:after="0" w:line="146" w:lineRule="exact"/>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3"/>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1"/>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5"/>
          </w:tcPr>
          <w:p>
            <w:pPr>
              <w:jc w:val="center"/>
              <w:ind w:right="1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2"/>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1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10/22/2026</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12,175</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9.6764</w:t>
            </w:r>
            <w:r>
              <w:rPr>
                <w:rFonts w:ascii="Times New Roman" w:cs="Times New Roman" w:eastAsia="Times New Roman" w:hAnsi="Times New Roman"/>
                <w:sz w:val="22"/>
                <w:szCs w:val="22"/>
                <w:color w:val="008000"/>
                <w:w w:val="95"/>
                <w:vertAlign w:val="superscript"/>
              </w:rPr>
              <w:t>(2)</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1,557,155</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gridSpan w:val="2"/>
            <w:vMerge w:val="continue"/>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1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10/22/2026</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40,000</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11.0366</w:t>
            </w:r>
            <w:r>
              <w:rPr>
                <w:rFonts w:ascii="Times New Roman" w:cs="Times New Roman" w:eastAsia="Times New Roman" w:hAnsi="Times New Roman"/>
                <w:sz w:val="22"/>
                <w:szCs w:val="22"/>
                <w:color w:val="008000"/>
                <w:w w:val="95"/>
                <w:vertAlign w:val="superscript"/>
              </w:rPr>
              <w:t>(3)</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1,597,155</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gridSpan w:val="2"/>
            <w:vMerge w:val="continue"/>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1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10/23/2026</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2,510</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12.1061</w:t>
            </w:r>
            <w:r>
              <w:rPr>
                <w:rFonts w:ascii="Times New Roman" w:cs="Times New Roman" w:eastAsia="Times New Roman" w:hAnsi="Times New Roman"/>
                <w:sz w:val="22"/>
                <w:szCs w:val="22"/>
                <w:color w:val="008000"/>
                <w:w w:val="95"/>
                <w:vertAlign w:val="superscript"/>
              </w:rPr>
              <w:t>(4)</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1,599,665</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gridSpan w:val="2"/>
            <w:vMerge w:val="continue"/>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1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10/26/2026</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25,124</w:t>
            </w:r>
          </w:p>
        </w:tc>
        <w:tc>
          <w:tcPr>
            <w:tcW w:w="46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11.7454</w:t>
            </w:r>
            <w:r>
              <w:rPr>
                <w:rFonts w:ascii="Times New Roman" w:cs="Times New Roman" w:eastAsia="Times New Roman" w:hAnsi="Times New Roman"/>
                <w:sz w:val="22"/>
                <w:szCs w:val="22"/>
                <w:color w:val="008000"/>
                <w:w w:val="95"/>
                <w:vertAlign w:val="superscript"/>
              </w:rPr>
              <w:t>(5)</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1,624,789</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gridSpan w:val="2"/>
            <w:vMerge w:val="continue"/>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20" w:type="dxa"/>
            <w:vAlign w:val="bottom"/>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gridSpan w:val="16"/>
          </w:tcPr>
          <w:p>
            <w:pPr>
              <w:ind w:left="3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60" w:type="dxa"/>
            <w:vAlign w:val="bottom"/>
          </w:tcPr>
          <w:p>
            <w:pPr>
              <w:spacing w:after="0"/>
              <w:rPr>
                <w:sz w:val="15"/>
                <w:szCs w:val="15"/>
                <w:color w:val="auto"/>
              </w:rPr>
            </w:pP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6. Date Exercisable and</w:t>
            </w:r>
          </w:p>
        </w:tc>
        <w:tc>
          <w:tcPr>
            <w:tcW w:w="1000" w:type="dxa"/>
            <w:vAlign w:val="bottom"/>
            <w:gridSpan w:val="2"/>
          </w:tcPr>
          <w:p>
            <w:pPr>
              <w:ind w:left="2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96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9"/>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Lynx1 Capital Management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ind w:left="12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D81 CALLE C</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SUITE 301 PMB 1202</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DORADO</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PR</w:t>
            </w:r>
          </w:p>
        </w:tc>
        <w:tc>
          <w:tcPr>
            <w:tcW w:w="260" w:type="dxa"/>
            <w:vAlign w:val="bottom"/>
          </w:tcPr>
          <w:p>
            <w:pPr>
              <w:spacing w:after="0"/>
              <w:rPr>
                <w:sz w:val="20"/>
                <w:szCs w:val="20"/>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00646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gridSpan w:val="3"/>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ind w:left="12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Nichols Weston</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80"/>
        <w:spacing w:after="0"/>
        <w:rPr>
          <w:sz w:val="20"/>
          <w:szCs w:val="20"/>
          <w:color w:val="auto"/>
        </w:rPr>
      </w:pPr>
      <w:r>
        <w:rPr>
          <w:rFonts w:ascii="Times New Roman" w:cs="Times New Roman" w:eastAsia="Times New Roman" w:hAnsi="Times New Roman"/>
          <w:sz w:val="17"/>
          <w:szCs w:val="17"/>
          <w:color w:val="0000FF"/>
        </w:rPr>
        <w:t>D81 CALLE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-114300</wp:posOffset>
            </wp:positionV>
            <wp:extent cx="2809240" cy="1121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1121410"/>
                    </a:xfrm>
                    <a:prstGeom prst="rect">
                      <a:avLst/>
                    </a:prstGeom>
                    <a:noFill/>
                  </pic:spPr>
                </pic:pic>
              </a:graphicData>
            </a:graphic>
          </wp:anchor>
        </w:drawing>
      </w:r>
    </w:p>
    <w:p>
      <w:pPr>
        <w:spacing w:after="0" w:line="5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SUITE 301 PMB 1202</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DORADO</w:t>
            </w:r>
          </w:p>
        </w:tc>
        <w:tc>
          <w:tcPr>
            <w:tcW w:w="12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PR</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00646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3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to which this filing relates are held directly by Lynx1 Master Fund LP to which Lynx1 Capital Management LP (the "Investment Manager") serves as investment manager. Weston Nichols ("Mr. Nichols") is the sole member of Lynx1 Capital Management GP LLC, the general partner of the Investment Manager. Each of the Investment Manager and Mr. Nichols disclaims beneficial ownership of the securities to which this filing relates for purposes of Section 16 of the Securities and Exchange Act of 1934, as amended, except to the extent of his or its pecuniary interest therein, if any.</w:t>
      </w:r>
    </w:p>
    <w:p>
      <w:pPr>
        <w:spacing w:after="0" w:line="20" w:lineRule="exact"/>
        <w:rPr>
          <w:rFonts w:ascii="Times New Roman" w:cs="Times New Roman" w:eastAsia="Times New Roman" w:hAnsi="Times New Roman"/>
          <w:sz w:val="13"/>
          <w:szCs w:val="13"/>
          <w:color w:val="008000"/>
        </w:rPr>
      </w:pPr>
    </w:p>
    <w:p>
      <w:pPr>
        <w:ind w:right="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$9.54 to $9.8550 inclusive. The Reporting Persons undertake to provide to the Issuer, any security holder of the Issuer, or the staff of the Securities and Exchange Commission (the "SEC"), upon request, full information regarding the number of shares purchased at each separate price within the range set forth herein.</w:t>
      </w:r>
    </w:p>
    <w:p>
      <w:pPr>
        <w:spacing w:after="0" w:line="20" w:lineRule="exact"/>
        <w:rPr>
          <w:rFonts w:ascii="Times New Roman" w:cs="Times New Roman" w:eastAsia="Times New Roman" w:hAnsi="Times New Roman"/>
          <w:sz w:val="13"/>
          <w:szCs w:val="13"/>
          <w:color w:val="008000"/>
        </w:rPr>
      </w:pPr>
    </w:p>
    <w:p>
      <w:pPr>
        <w:jc w:val="both"/>
        <w:ind w:right="100" w:firstLine="7"/>
        <w:spacing w:after="0" w:line="258"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$10.955 to $11.11 inclusive. The Reporting Persons undertake to provide to the Issuer, any security holder of the Issuer, or the staff of the SEC, upon request, full information regarding the number of shares purchased at each separate price within the range set forth herein.</w:t>
      </w:r>
    </w:p>
    <w:p>
      <w:pPr>
        <w:spacing w:after="0" w:line="171" w:lineRule="exact"/>
        <w:rPr>
          <w:rFonts w:ascii="Times New Roman" w:cs="Times New Roman" w:eastAsia="Times New Roman" w:hAnsi="Times New Roman"/>
          <w:sz w:val="13"/>
          <w:szCs w:val="13"/>
          <w:color w:val="008000"/>
        </w:rPr>
      </w:pPr>
    </w:p>
    <w:p>
      <w:pPr>
        <w:ind w:right="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$11.9250 to $12.3500 inclusive. The Reporting Persons undertake to provide to the Issuer, any security holder of the Issuer, or the staff of the SEC, upon request, full information regarding the number of shares purchased at each separate price within the range set forth herein.</w:t>
      </w:r>
    </w:p>
    <w:p>
      <w:pPr>
        <w:spacing w:after="0" w:line="20" w:lineRule="exact"/>
        <w:rPr>
          <w:rFonts w:ascii="Times New Roman" w:cs="Times New Roman" w:eastAsia="Times New Roman" w:hAnsi="Times New Roman"/>
          <w:sz w:val="13"/>
          <w:szCs w:val="13"/>
          <w:color w:val="008000"/>
        </w:rPr>
      </w:pPr>
    </w:p>
    <w:p>
      <w:pPr>
        <w:ind w:right="40" w:firstLine="7"/>
        <w:spacing w:after="0" w:line="258"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$11.7450 to $11.80 inclusive. The Reporting Persons undertake to provide to the Issuer, any security holder of the Issuer, or the staff of the SEC, upon request, full information regarding the number of shares purchased at each separate price within the range set forth herein.</w:t>
      </w:r>
    </w:p>
    <w:p>
      <w:pPr>
        <w:spacing w:after="0" w:line="19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Lynx1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Lynx1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Management GP LLC, its</w:t>
      </w:r>
      <w:r>
        <w:rPr>
          <w:sz w:val="20"/>
          <w:szCs w:val="20"/>
          <w:color w:val="auto"/>
        </w:rPr>
        <w:tab/>
      </w:r>
      <w:r>
        <w:rPr>
          <w:rFonts w:ascii="Times New Roman" w:cs="Times New Roman" w:eastAsia="Times New Roman" w:hAnsi="Times New Roman"/>
          <w:sz w:val="17"/>
          <w:szCs w:val="17"/>
          <w:color w:val="0000FF"/>
        </w:rPr>
        <w:t>10/26/2026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Weston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82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Nichols,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925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Weston Nichols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10/26/2026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3" Type="http://schemas.openxmlformats.org/officeDocument/2006/relationships/hyperlink" Target="http://www.sec.gov/cgi-bin/browse-edgar?action=getcompany&amp;CIK=0001910456" TargetMode="External"/><Relationship Id="rId14" Type="http://schemas.openxmlformats.org/officeDocument/2006/relationships/hyperlink" Target="http://www.sec.gov/cgi-bin/browse-edgar?action=getcompany&amp;CIK=0001703647" TargetMode="External"/><Relationship Id="rId17" Type="http://schemas.openxmlformats.org/officeDocument/2006/relationships/hyperlink" Target="http://www.sec.gov/cgi-bin/browse-edgar?action=getcompany&amp;CIK=00017463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2026-10-26T17:38:07Z</dcterms:created>
  <dcterms:modified xsi:type="dcterms:W3CDTF">2026-10-26T17:38:07Z</dcterms:modified>
</cp:coreProperties>
</file>