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Dolan Oliver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Vice President, Finance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7,347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13.5138</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16,252</w:t>
            </w:r>
            <w:r>
              <w:rPr>
                <w:rFonts w:ascii="Times;serif" w:hAnsi="Times;serif"/>
                <w:color w:val="008000"/>
                <w:position w:val="7"/>
                <w:sz w:val="16"/>
                <w:sz w:val="20"/>
                <w:shd w:fill="FFFFFF" w:val="clear"/>
              </w:rPr>
              <w:t>(3)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13.6033</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16,246</w:t>
            </w:r>
            <w:r>
              <w:rPr>
                <w:rFonts w:ascii="Times;serif" w:hAnsi="Times;serif"/>
                <w:color w:val="008000"/>
                <w:position w:val="7"/>
                <w:sz w:val="16"/>
                <w:sz w:val="20"/>
                <w:shd w:fill="FFFFFF" w:val="clear"/>
              </w:rPr>
              <w:t>(3)</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June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at prices ranging from $13.50 to $13.595, inclusive. Full information regarding the number of shares sold at each separate price can be provided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16,241 shares of common stock issuable upon settlement of restricted stock units (RSUs) that remain unvested, consisting of 10,741 shares that will vest on December 15, 2026, 2,750 shares that will vest on July 15, 2027, and 2,750 shares that will vest on July 15, 2028, in each case subject to the reporting person maintaining a continuous Service Relationship (as defined in the 2023 Plan) through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weighted-average price. The shares were sold in multiple transactions at prices ranging from $13.52 to $13.76, inclusive. Full information regarding the number of shares sold at each separate price can be provided to the issuer, any security holder of the issuer or the staff of the Securities and Exchange Commission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383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793</Words>
  <Characters>4235</Characters>
  <CharactersWithSpaces>4949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