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krro-20260630.htm"/>
      <w:bookmarkStart w:id="1" w:name="kskrro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20" w:after="8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20" w:after="8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18"/>
        </w:rPr>
        <w:t>_____________________</w:t>
      </w:r>
      <w:r>
        <w:rPr>
          <w:rFonts w:ascii="Times New Roman" w:hAnsi="Times New Roman"/>
          <w:color w:val="000000"/>
          <w:sz w:val="20"/>
        </w:rPr>
        <w:t xml:space="preserve"> </w:t>
      </w:r>
      <w:r>
        <w:rPr>
          <w:rFonts w:ascii="Times New Roman" w:hAnsi="Times New Roman"/>
          <w:b/>
          <w:color w:val="000000"/>
          <w:sz w:val="20"/>
        </w:rPr>
        <w:t xml:space="preserve">to </w:t>
      </w:r>
      <w:r>
        <w:rPr>
          <w:rFonts w:ascii="Times New Roman" w:hAnsi="Times New Roman"/>
          <w:b/>
          <w:color w:val="000000"/>
          <w:sz w:val="18"/>
        </w:rPr>
        <w:t>_____________________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001-39062</w:t>
      </w:r>
    </w:p>
    <w:p>
      <w:pPr>
        <w:pStyle w:val="TextBody"/>
        <w:pBdr>
          <w:bottom w:val="single" w:sz="4" w:space="1" w:color="000000"/>
        </w:pBdr>
        <w:bidi w:val="0"/>
        <w:spacing w:before="20" w:after="8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Korro 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20" w:after="283"/>
        <w:jc w:val="center"/>
        <w:rPr/>
      </w:pPr>
      <w:r>
        <w:rPr/>
        <w:t> </w:t>
      </w:r>
    </w:p>
    <w:p>
      <w:pPr>
        <w:pStyle w:val="TextBody"/>
        <w:bidi w:val="0"/>
        <w:jc w:val="left"/>
        <w:rPr/>
      </w:pPr>
      <w:r>
        <w:rPr/>
        <w:t> </w:t>
      </w:r>
    </w:p>
    <w:tbl>
      <w:tblPr>
        <w:tblW w:w="7307" w:type="dxa"/>
        <w:jc w:val="left"/>
        <w:tblInd w:w="0" w:type="dxa"/>
        <w:tblLayout w:type="fixed"/>
        <w:tblCellMar>
          <w:top w:w="28" w:type="dxa"/>
          <w:left w:w="28" w:type="dxa"/>
          <w:bottom w:w="28" w:type="dxa"/>
          <w:right w:w="28" w:type="dxa"/>
        </w:tblCellMar>
      </w:tblPr>
      <w:tblGrid>
        <w:gridCol w:w="4561"/>
        <w:gridCol w:w="2746"/>
      </w:tblGrid>
      <w:tr>
        <w:trPr/>
        <w:tc>
          <w:tcPr>
            <w:tcW w:w="456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47-2324450</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456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sz w:val="20"/>
              </w:rPr>
            </w:pPr>
            <w:r>
              <w:rPr>
                <w:rFonts w:ascii="Times New Roman" w:hAnsi="Times New Roman"/>
                <w:b/>
                <w:color w:val="000000"/>
                <w:sz w:val="20"/>
              </w:rPr>
              <w:t>60 First Street,</w:t>
            </w:r>
            <w:r>
              <w:rPr>
                <w:rFonts w:ascii="Times New Roman" w:hAnsi="Times New Roman"/>
                <w:color w:val="000000"/>
                <w:sz w:val="20"/>
              </w:rPr>
              <w:t xml:space="preserve"> </w:t>
            </w:r>
            <w:r>
              <w:rPr>
                <w:rFonts w:ascii="Times New Roman" w:hAnsi="Times New Roman"/>
                <w:b/>
                <w:color w:val="000000"/>
                <w:sz w:val="20"/>
              </w:rPr>
              <w:t>2nd Floor, Suite 250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02141</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(617) 468-1999</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spacing w:before="2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196"/>
        <w:gridCol w:w="146"/>
        <w:gridCol w:w="145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KRRO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5, 2026, the registrant had 14,725,646</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Condensed Consolidated Statements of Operations and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Condensed Consolidated Statements of Stockholders’ Equity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
              <w:r>
                <w:rPr>
                  <w:rStyle w:val="InternetLink"/>
                  <w:rFonts w:ascii="Times New Roman" w:hAnsi="Times New Roman"/>
                  <w:color w:val="0000FF"/>
                  <w:sz w:val="20"/>
                  <w:u w:val="single"/>
                </w:rPr>
                <w:t>Notes to Unaudited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Unless the context otherwise indicates, references in this Quarterly Report on Form 10-Q to the “Company,” “we,” “our” and “us” refer, collectively, to Korro Bio, Inc., a Delaware corporation, and its consolidated subsidiaries (including Legacy Korro) after completion of our November 2023 business combination. The term “Legacy Korro” refers to privately held Korro Bio Ops, Inc. (formerly known as Korro Bio, Inc.), which we acquired in the November 2023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various trademarks and trade names in our business, including without limitation our corporate name and logo. All other trademarks or trade names referred to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to the fullest extent under applicable law, their rights thereto.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this Quarterly Report on Form 10-Q, when we refer to our leads or lead candidates, we are referring to our RNA-editing oligonucleotides, or REOs, that we are researching for potential nomination as a development candidate. When we refer to our development candidates, we generally mean an REO that we have nominated for clinical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or this Quarterly Report, includes statements that are not historical facts and are considered forward-looking within the meaning of Section 27A of the Securities Act of 1933, as amended, or the Securities Act, and Section 21E of the Securities Exchange Act of 1934, as amended, or the Exchange Act. Our forward-looking statements include, but are not limited to, express or implied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may include, for example, express or implied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progress, results, and cost of our KRRO-121 and KRRO-111 development programs, including regulatory filings and clinical development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results, cost of and other statements regarding our research and development programs and our current and future preclinical studies and clinical trials, including statements regarding the timing of initiation and completion of studies or trials and related preparatory work, and the period during which the results of the trials will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runway and ability to reach meaningful clinical data readouts and data inflection 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our organizational streamlining and workforce reduction;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therapeutic and commercial potential of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and other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collaboration arrangement with Novo Nordisk A/S, or Novo Nordisk, including effects of the November 2025 pause, and any future collaboration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and the impact of, regulatory requirements, obligations and restrictions on our business and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and operate our business without infringing upon the intellectual property rights of others, including our ability to obtain and maintain rights to the technologies required to develop and commercialize our development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developments, including the impact on our competitive position of rival products and development candidates and our ability to meet such competition;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the growth of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including those set forth under the heading “</w:t>
      </w:r>
      <w:r>
        <w:rPr>
          <w:rFonts w:ascii="Times New Roman" w:hAnsi="Times New Roman"/>
          <w:i/>
          <w:color w:val="000000"/>
          <w:sz w:val="20"/>
        </w:rPr>
        <w:t>Risk Factors</w:t>
      </w:r>
      <w:r>
        <w:rPr>
          <w:rFonts w:ascii="Times New Roman" w:hAnsi="Times New Roman"/>
          <w:color w:val="000000"/>
          <w:sz w:val="20"/>
        </w:rPr>
        <w:t>” in Part II, Item 1A of this Quarterly Report. Given these risks and uncertainties, you should not place undue reliance on these forward-looking statements. Should one or more of the risks or uncertainties described in this Quarterly Report, or should underlying assumptions prove incorrect, actual results and plans could differ materially from those expressed in any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 We qualify all of our forward-looking statements by these cautionary statements.</w:t>
      </w:r>
      <w:r>
        <w:rPr>
          <w:rFonts w:ascii="Times New Roman" w:hAnsi="Times New Roman"/>
          <w:b/>
          <w:color w:val="000000"/>
          <w:sz w:val="20"/>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jc w:val="left"/>
        <w:rPr>
          <w:rFonts w:ascii="Times New Roman" w:hAnsi="Times New Roman"/>
          <w:sz w:val="20"/>
        </w:rPr>
      </w:pPr>
      <w:r>
        <w:rPr>
          <w:rFonts w:ascii="Times New Roman" w:hAnsi="Times New Roman"/>
          <w:color w:val="000000"/>
          <w:sz w:val="20"/>
        </w:rPr>
        <w:t>Our business involves significant risks. Below is a summary of the material risks that our business faces, which makes an investment in our securities speculative and risky. This summary does not address all these risks. These risks are more fully described below under the heading “</w:t>
      </w:r>
      <w:r>
        <w:rPr>
          <w:rFonts w:ascii="Times New Roman" w:hAnsi="Times New Roman"/>
          <w:i/>
          <w:color w:val="000000"/>
          <w:sz w:val="20"/>
        </w:rPr>
        <w:t>Risk Factors</w:t>
      </w:r>
      <w:r>
        <w:rPr>
          <w:rFonts w:ascii="Times New Roman" w:hAnsi="Times New Roman"/>
          <w:color w:val="000000"/>
          <w:sz w:val="20"/>
        </w:rPr>
        <w:t>” in Part II, Item 1A of this Quarterly Report. Before making investment decisions regarding our securities, you should carefully consider these risks. The occurrence of any of the events or developments described below could have a material adverse effect on our business, results of operations, financial condition, prospects and stock price. In such event, the market price of our securities could decline, and you could lose all or part of your investment. Further, there are additional risks not described below that are either not currently known to us or that we currently deem immaterial, and these additional risks could also materially impair our business, operations or market price of our securities.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inception and expect to incur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generated revenue from product sales and may never become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If we are unable to raise capital when needed, we will be forced to delay, reduce, eliminate or prioritize among our research and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preclinical studies or clinical trials of any lead candidates or development candidates fail to demonstrate safety and efficacy to the satisfaction of regulatory authorities or do not otherwise produce positive results (such as we experienced in the Phase 1/2a REWRITE clinical trial of KRRO-110 for alpha-1 antitrypsin deficiency, or AATD), we may incur additional costs or experience delays in completing, or ultimately be unable to complete, the development and commercialization of such development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anticipated benefits of our organizational streamlining and workforce reductions.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gene editing field and RNA editing in particular is relatively new and is evolving rapidly. We are very early in our research and development efforts and may not be successful in identifying and developing development candidates. It will be many years before we or our collaborators commercialize a development candidate or generate any revenues, if ever. Additionally, other gene editing technologies may be discovered that provide significant advantages over RNA editing, which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RNA editing is a novel technology with limited clinical validation for human therapeutic use. The approaches we take to discover and develop novel therapeutics are unproven and may never lead to marketable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very early in our development efforts, and our preclinical studies and clinical trials may not be successful. We have yet to successfully complete clinical development of any development candidate, and any favorable results we have may not be predictive of results that may be observed in later preclinical studies or clinical trials, such as our experience in the Phase 1/2a REWRITE clinical trial of KRRO-110 for AATD. If we are unable to commercialize our development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development candidates we develop may fail in preclinical or clinical development or be delayed to a point where they do not become commercially viable.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developing REOs, which are considered a relatively new class of drugs, there is increased risk that the outcome of our clinical trials will not be sufficient to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obtain or protect intellectual property rights related to any of our lead candidates or development candidates, development and commercialization of our REO leads or development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finding strategic collaborators for continuing development of certain of our development candidates or successfully commercializing or competing in the market for certain indications; and we may not see any benefit from our collaboration agreement with Novo Nordisk, which, as of November 2025, is paused for 12 months.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common stock is volatile and fluctuates substantially, which could result in substantial losses for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and bylaws and provisions under Delaware law could make an acquisition of us more difficult and may prevent attempts by our stockholders to replace or remove our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directors and principal stockholders have the ability to control or significantly influence all matters submitted to our stockholders for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global economic conditions could adversely affect our business, financial condition, results of operations or cash flow.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may be impacted by macroeconomic conditions, including inflation, rising interest rates and volatile market conditions, and other uncertainties beyond our control, including geopolitical events, such as ongoing U.S. and Israeli military action in Iran, and effects thereof.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(amounts in thousands, except share and par value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85"/>
        <w:gridCol w:w="146"/>
        <w:gridCol w:w="196"/>
        <w:gridCol w:w="751"/>
        <w:gridCol w:w="166"/>
        <w:gridCol w:w="146"/>
        <w:gridCol w:w="207"/>
        <w:gridCol w:w="795"/>
        <w:gridCol w:w="613"/>
      </w:tblGrid>
      <w:tr>
        <w:trPr/>
        <w:tc>
          <w:tcPr>
            <w:tcW w:w="7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53,332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82,372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113,506</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40,814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62,067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at June 30, 2026 and December 31, 2025; no</w:t>
            </w:r>
            <w:r>
              <w:rPr>
                <w:rFonts w:ascii="Times New Roman" w:hAnsi="Times New Roman"/>
                <w:color w:val="000000"/>
                <w:sz w:val="20"/>
              </w:rPr>
              <w:t> </w:t>
            </w:r>
            <w:r>
              <w:rPr>
                <w:rFonts w:ascii="Times New Roman" w:hAnsi="Times New Roman"/>
                <w:color w:val="000000"/>
                <w:sz w:val="18"/>
              </w:rPr>
              <w:t>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 200,000,000</w:t>
            </w:r>
            <w:r>
              <w:rPr>
                <w:rFonts w:ascii="Times New Roman" w:hAnsi="Times New Roman"/>
                <w:color w:val="000000"/>
                <w:sz w:val="20"/>
              </w:rPr>
              <w:t> </w:t>
            </w:r>
            <w:r>
              <w:rPr>
                <w:rFonts w:ascii="Times New Roman" w:hAnsi="Times New Roman"/>
                <w:color w:val="000000"/>
                <w:sz w:val="18"/>
              </w:rPr>
              <w:t>shares authorized at June 30, 2026 and December 31, 2025; 14,705,646</w:t>
            </w:r>
            <w:r>
              <w:rPr>
                <w:rFonts w:ascii="Times New Roman" w:hAnsi="Times New Roman"/>
                <w:color w:val="000000"/>
                <w:sz w:val="20"/>
              </w:rPr>
              <w:t> </w:t>
            </w:r>
            <w:r>
              <w:rPr>
                <w:rFonts w:ascii="Times New Roman" w:hAnsi="Times New Roman"/>
                <w:color w:val="000000"/>
                <w:sz w:val="18"/>
              </w:rPr>
              <w:t>shares and 9,417,295</w:t>
            </w:r>
            <w:r>
              <w:rPr>
                <w:rFonts w:ascii="Times New Roman" w:hAnsi="Times New Roman"/>
                <w:color w:val="000000"/>
                <w:sz w:val="20"/>
              </w:rPr>
              <w:t> </w:t>
            </w:r>
            <w:r>
              <w:rPr>
                <w:rFonts w:ascii="Times New Roman" w:hAnsi="Times New Roman"/>
                <w:color w:val="000000"/>
                <w:sz w:val="18"/>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435,064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(383,846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51,439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113,506</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19"/>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mprehensive_loss"/>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(amounts in thousands, except share and per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4"/>
        <w:gridCol w:w="146"/>
        <w:gridCol w:w="211"/>
        <w:gridCol w:w="1036"/>
        <w:gridCol w:w="166"/>
        <w:gridCol w:w="146"/>
        <w:gridCol w:w="211"/>
        <w:gridCol w:w="931"/>
        <w:gridCol w:w="166"/>
        <w:gridCol w:w="146"/>
        <w:gridCol w:w="211"/>
        <w:gridCol w:w="1036"/>
        <w:gridCol w:w="166"/>
        <w:gridCol w:w="146"/>
        <w:gridCol w:w="211"/>
        <w:gridCol w:w="931"/>
        <w:gridCol w:w="591"/>
      </w:tblGrid>
      <w:tr>
        <w:trPr/>
        <w:tc>
          <w:tcPr>
            <w:tcW w:w="3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17,618,441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9,390,542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14,625,208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9,386,597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stockholders_equity"/>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(amounts in thousands, except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16"/>
        <w:gridCol w:w="146"/>
        <w:gridCol w:w="146"/>
        <w:gridCol w:w="646"/>
        <w:gridCol w:w="146"/>
        <w:gridCol w:w="146"/>
        <w:gridCol w:w="170"/>
        <w:gridCol w:w="356"/>
        <w:gridCol w:w="146"/>
        <w:gridCol w:w="146"/>
        <w:gridCol w:w="166"/>
        <w:gridCol w:w="496"/>
        <w:gridCol w:w="146"/>
        <w:gridCol w:w="146"/>
        <w:gridCol w:w="296"/>
        <w:gridCol w:w="620"/>
        <w:gridCol w:w="151"/>
        <w:gridCol w:w="146"/>
        <w:gridCol w:w="186"/>
        <w:gridCol w:w="610"/>
        <w:gridCol w:w="151"/>
        <w:gridCol w:w="146"/>
        <w:gridCol w:w="196"/>
        <w:gridCol w:w="587"/>
        <w:gridCol w:w="198"/>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9,417,295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(383,846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51,439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the at-the-market program,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501,861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and pre-funded warrants in connection with the private placement,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4,501,928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80,258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(19,625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14,422,571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523,085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(403,471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119,633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Vesting of 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(18,916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14,705,646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525,788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(422,387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103,226</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9,377,259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(266,586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160,415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(23,387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9,388,902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428,657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(289,973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138,957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(25,770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9,390,842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(315,743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115,103</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6"/>
        </w:rPr>
      </w:pPr>
      <w:r>
        <w:rPr>
          <w:rFonts w:ascii="Times New Roman" w:hAnsi="Times New Roman"/>
          <w:i/>
          <w:color w:val="000000"/>
          <w:sz w:val="16"/>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statements_of_cash_flows"/>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(amounts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42"/>
        <w:gridCol w:w="146"/>
        <w:gridCol w:w="211"/>
        <w:gridCol w:w="736"/>
        <w:gridCol w:w="166"/>
        <w:gridCol w:w="146"/>
        <w:gridCol w:w="211"/>
        <w:gridCol w:w="736"/>
        <w:gridCol w:w="611"/>
      </w:tblGrid>
      <w:tr>
        <w:trPr/>
        <w:tc>
          <w:tcPr>
            <w:tcW w:w="7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premiums and discounts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in connection with the at-the-market program,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and pre-funded warrants in connection with the private placement,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notes_to_consolidated_financial"/>
      <w:bookmarkEnd w:id="8"/>
      <w:r>
        <w:rPr>
          <w:rFonts w:ascii="Times New Roman" w:hAnsi="Times New Roman"/>
          <w:b/>
          <w:color w:val="000000"/>
          <w:sz w:val="20"/>
        </w:rPr>
        <w:t>Notes to Unaudited Condensed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 and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Korro Bio, Inc. (together with its subsidiaries, the “Company”) is a biopharmaceutical company leveraging a novel oligonucleotide promoted editing of RNA, or OPERA, platform to develop a new class of genetic medicines for rare and highly prevalent diseases. The Company was incorporated in November 2014 as a Delaware corporation and in November 2023 completed a reverse merger with its now wholly-owned subsidiary and changed its name from Frequency Therapeutics, Inc. (“Frequency”) to Korro Bio, Inc. The Company's principal offices are in Cambridge, Massachusetts.</w:t>
      </w:r>
    </w:p>
    <w:p>
      <w:pPr>
        <w:pStyle w:val="TextBody"/>
        <w:bidi w:val="0"/>
        <w:spacing w:before="24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Lead candidates and development candidates currently under development will require significant additional research and development efforts, including extensive pre-clinical and clinical testing and regulatory approval, prior to commercialization. These efforts will require significant amounts of additional capital, adequate personnel infrastructure and extensive compliance-reporting capabilities. Even if the Company’s product development efforts are successful, it is uncertain when, if ever, the Company will realize revenue from product sales.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consolidated financial statements have been prepared on the basis of the Company continuing as a going concern. The Company expects that its existing cash, cash equivalents and marketable securities as of June 30, 2026 of $137.9 million will enable the Company to fund its planned operating expenses and capital expenditure requirements for at least 12 months from the date of issuance of these consolidated financial statements. The Company has incurred recurring losses and negative cash flows from operations since inception. As of June 30, 2026, the Company had an accumulated deficit of $422.4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development candidates, if approved, will require significant additional financing. However, if the Company is unable to obtain additional financing, the Company would be forced to delay, reduce or eliminate its research and development programs and/or relinquish valuable rights to its technology, lead candidates and development candidates. There is no assurance that the Company will be successful in obtaining sufficient financing on acceptable terms to continue funding its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 and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 and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generally accepted accounting principles in the United States of America (“GAAP”). These consolidated financial statements have been prepared on the going concern basis of accounting, which assumes continuity of operations, realization of assets and satisfaction of liabilities in the ordinary course of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Korro Bio, Inc. and its wholly-owned subsidiaries. All intercompany transactions and balances have been eliminated in consolidation.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Unaudited Interim Condensed Consolidated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as of June 30, 2026 and for the three and six months ended June 30, 2026 and 2025 are unaudited. The financial data and other information contained in the notes hereto as of June 30, 2026 and for the three and six months ended June 30, 2026 and 2025 are also unaudited. The condensed consolidated balance sheet data as of December 31, 2025 was derived from the Company's audited consolidated financial statements included in the Company's Annual Report on Form 10-K for the year ended December 31, 2025 (the "2025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interim condensed consolidated financial statements have been prepared on the same basis as the audited annual consolidated financial statements, and in the opinion of management, reflect all adjustments, which include any normal recurring adjustments necessary for the fair presentation of the Company's interim period results. These unaudited condensed consolidated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 should be read in conjunction with the audited consolidated financial statements as of and for the year ended December 31, 2025, and the notes thereto, included in the 2025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for the three and six months ended June 30, 2026 are not necessarily indicative of results to be expected for the year ended December 31, 2026, or any other interim periods, or any future year or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accounting policies used in preparation of the condensed consolidated financial statements are described in the Company's audited consolidated financial statements as of the year end December 31, 2025, and the notes thereto, which are included in the 2025 Form 10-K. There have been no material changes to the significant accounting policies previously disclosed in the 2025 Form 10-K.</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Estimates and assumptions reflected in these consolidated financial statements include, but are not limited to accrued research and development expenses and stock-based compensation expense.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common stock warrants as either equity-classified or liability-classified instruments based on an assessment of the warrant’s specific terms and applicable authoritative guidance in Accounting Standards Codification (“ASC”) No. 480, Distinguishing Liabilities from Equity (“ASC 480”), and ASC No. 815, 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judgment, is conducted at the time of warrant issuance and as of each subsequent quarterly period end date while the warrants are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remeasured each balance sheet date thereafter. Changes in the estimated fair value of the liability-classified warrants are recognized as a non-cash gain or loss in the accompanying consolidated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Pronouncements—Yet to be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the applicability and impact of all Accounting Standards Updates (“ASU” or “ASUs”). Accounting standards that have been issued or proposed by the Financial Accounting Standards Board (“FASB”) or other standards-setting bodies that do not require adoption until a future date are not expected to have a material impact on the Company’s consolidated financial statements upon adoption.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2024-03, Income Statement-Reporting Comprehensive Income- Expense Disaggregation Disclosures</w:t>
      </w:r>
      <w:r>
        <w:rPr>
          <w:rFonts w:ascii="Times New Roman" w:hAnsi="Times New Roman"/>
          <w:color w:val="000000"/>
          <w:sz w:val="20"/>
        </w:rPr>
        <w:t>,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w:t>
      </w:r>
    </w:p>
    <w:p>
      <w:pPr>
        <w:pStyle w:val="TextBody"/>
        <w:bidi w:val="0"/>
        <w:spacing w:before="36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the fair value of money market funds based on quoted prices in active markets for identical securities. Marketable securities include U.S. treasury bills and U.S. government agency securities that are valued either based on recent trades of securities in inactive markets or based on quoted market prices of similar instruments and other significant inputs derived from or corroborated by observable market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reflected in the consolidated balance sheets for cash, prepaid expenses and other current assets, accounts payable and accrued expenses approximate their fair values, due to their short-term nature.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and liabilities measured at fair value on a recurring basis as of June 30, 2026 were as follows (in thousands):</w:t>
      </w:r>
    </w:p>
    <w:p>
      <w:pPr>
        <w:pStyle w:val="TextBody"/>
        <w:bidi w:val="0"/>
        <w:jc w:val="left"/>
        <w:rPr/>
      </w:pPr>
      <w:r>
        <w:rPr/>
        <w:t> </w:t>
      </w:r>
    </w:p>
    <w:tbl>
      <w:tblPr>
        <w:tblW w:w="8709" w:type="dxa"/>
        <w:jc w:val="left"/>
        <w:tblInd w:w="0" w:type="dxa"/>
        <w:tblLayout w:type="fixed"/>
        <w:tblCellMar>
          <w:top w:w="28" w:type="dxa"/>
          <w:left w:w="28" w:type="dxa"/>
          <w:bottom w:w="28" w:type="dxa"/>
          <w:right w:w="28" w:type="dxa"/>
        </w:tblCellMar>
      </w:tblPr>
      <w:tblGrid>
        <w:gridCol w:w="3091"/>
        <w:gridCol w:w="146"/>
        <w:gridCol w:w="211"/>
        <w:gridCol w:w="781"/>
        <w:gridCol w:w="146"/>
        <w:gridCol w:w="146"/>
        <w:gridCol w:w="267"/>
        <w:gridCol w:w="858"/>
        <w:gridCol w:w="146"/>
        <w:gridCol w:w="146"/>
        <w:gridCol w:w="211"/>
        <w:gridCol w:w="781"/>
        <w:gridCol w:w="146"/>
        <w:gridCol w:w="146"/>
        <w:gridCol w:w="295"/>
        <w:gridCol w:w="801"/>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 xml:space="preserve">Inputs </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 APA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CVR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Assets and liabilities measured at fair value on a recurring basis as of December 31, 2025 were as follows (in thousands): </w:t>
      </w:r>
    </w:p>
    <w:p>
      <w:pPr>
        <w:pStyle w:val="TextBody"/>
        <w:bidi w:val="0"/>
        <w:jc w:val="left"/>
        <w:rPr/>
      </w:pPr>
      <w:r>
        <w:rPr/>
        <w:t> </w:t>
      </w:r>
    </w:p>
    <w:tbl>
      <w:tblPr>
        <w:tblW w:w="8543" w:type="dxa"/>
        <w:jc w:val="left"/>
        <w:tblInd w:w="0" w:type="dxa"/>
        <w:tblLayout w:type="fixed"/>
        <w:tblCellMar>
          <w:top w:w="28" w:type="dxa"/>
          <w:left w:w="28" w:type="dxa"/>
          <w:bottom w:w="28" w:type="dxa"/>
          <w:right w:w="28" w:type="dxa"/>
        </w:tblCellMar>
      </w:tblPr>
      <w:tblGrid>
        <w:gridCol w:w="3091"/>
        <w:gridCol w:w="146"/>
        <w:gridCol w:w="211"/>
        <w:gridCol w:w="676"/>
        <w:gridCol w:w="146"/>
        <w:gridCol w:w="146"/>
        <w:gridCol w:w="267"/>
        <w:gridCol w:w="858"/>
        <w:gridCol w:w="146"/>
        <w:gridCol w:w="146"/>
        <w:gridCol w:w="221"/>
        <w:gridCol w:w="710"/>
        <w:gridCol w:w="146"/>
        <w:gridCol w:w="146"/>
        <w:gridCol w:w="295"/>
        <w:gridCol w:w="801"/>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 xml:space="preserve">Inputs </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 APA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CVR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contingent value right ("CVR") liability and the asset purchase agreement relating to Frequency’s multiple sclerosis program (the "MS APA") are based on significant unobservable inputs, which represent Level 3 measurements within the fair value hierarchy. In determining the fair value of the CVR liability and the MS APA asset, the Company used the income approach, primarily discounted cash flow models. The discounted cash flow models require the use of judgment, estimates and assumptions, including the probability of technical and regulatory success, and discount rates. For the six months ended June 30, 2026, the aggregate change in fair value of the CVR liability and MS APA asset was $0.1 million. For the year ended December 31, 2025, the aggregate change in fair value of the CVR liability and MS APA asset was $0.1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changes in valuation techniques, nor were there any transfers among the fair value hierarchy levels during the six months ended June 30, 2026 or during the year ended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Marketable securities were comprised as follows as of June 30, 2026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86"/>
        <w:gridCol w:w="146"/>
        <w:gridCol w:w="1783"/>
        <w:gridCol w:w="146"/>
        <w:gridCol w:w="211"/>
        <w:gridCol w:w="781"/>
        <w:gridCol w:w="146"/>
        <w:gridCol w:w="146"/>
        <w:gridCol w:w="335"/>
        <w:gridCol w:w="551"/>
        <w:gridCol w:w="146"/>
        <w:gridCol w:w="146"/>
        <w:gridCol w:w="270"/>
        <w:gridCol w:w="616"/>
        <w:gridCol w:w="166"/>
        <w:gridCol w:w="146"/>
        <w:gridCol w:w="211"/>
        <w:gridCol w:w="781"/>
        <w:gridCol w:w="392"/>
      </w:tblGrid>
      <w:tr>
        <w:trPr/>
        <w:tc>
          <w:tcPr>
            <w:tcW w:w="3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85,194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Between 1 to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Marketable securities were comprised as follows as of December 31, 2025 (in thousands):</w:t>
      </w:r>
    </w:p>
    <w:p>
      <w:pPr>
        <w:pStyle w:val="TextBody"/>
        <w:bidi w:val="0"/>
        <w:spacing w:before="120" w:after="283"/>
        <w:jc w:val="left"/>
        <w:rPr/>
      </w:pPr>
      <w:r>
        <w:rPr/>
        <w:t> </w:t>
      </w:r>
    </w:p>
    <w:tbl>
      <w:tblPr>
        <w:tblW w:w="9982" w:type="dxa"/>
        <w:jc w:val="left"/>
        <w:tblInd w:w="0" w:type="dxa"/>
        <w:tblLayout w:type="fixed"/>
        <w:tblCellMar>
          <w:top w:w="28" w:type="dxa"/>
          <w:left w:w="28" w:type="dxa"/>
          <w:bottom w:w="28" w:type="dxa"/>
          <w:right w:w="28" w:type="dxa"/>
        </w:tblCellMar>
      </w:tblPr>
      <w:tblGrid>
        <w:gridCol w:w="3091"/>
        <w:gridCol w:w="146"/>
        <w:gridCol w:w="1786"/>
        <w:gridCol w:w="146"/>
        <w:gridCol w:w="211"/>
        <w:gridCol w:w="676"/>
        <w:gridCol w:w="146"/>
        <w:gridCol w:w="146"/>
        <w:gridCol w:w="295"/>
        <w:gridCol w:w="591"/>
        <w:gridCol w:w="146"/>
        <w:gridCol w:w="146"/>
        <w:gridCol w:w="335"/>
        <w:gridCol w:w="551"/>
        <w:gridCol w:w="146"/>
        <w:gridCol w:w="146"/>
        <w:gridCol w:w="211"/>
        <w:gridCol w:w="67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Between 1 to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amortized cost of available-for-sale securities is adjusted for amortization of premiums and accretion of discounts to maturity. There were no realized gains or losses on available-for-sale securities for the periods presented. None of the investments were in an unrealized loss position for greater than 12 months as of June 30, 2026. The unrealized losses on the Company's available-for-sale securities were caused by the impact of central bank and market interest rates on the investments held. The Company does not intend to sell the investments, and it is not more likely than not that the Company will be required to sell the investments before recovery of their amortized cost bases. After analyzing the securities in an unrealized loss position, the portion of these losses that relates to changes in credit quality is insignificant. The Company did not record an allowance for credit losses as of June 30, 2026. Furthermore, the Company does not believe that these securities expose the Company to undue market risk or counterparty credit risk.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maintained current restricted cash of $0.0 million and non-current restricted cash of $2.4 million. As of December 31, 2025, the Company maintained current restricted cash of $1.0 million and non-current restricted cash of $2.4 million. The current restricted cash of $1.0 million as of December 31, 2025 is included under the caption “prepaid expenses and other current assets” in the Company's condensed consolidated balance sheet. All restricted cash amounts are comprised solely of letters of credit required pursuant to the Company's facility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a reconciliation of cash, cash equivalents and restricted cash as of June 30, 2026 and December 31, 2025 that sums to the total of the same amounts shown in the consolidated statements of cash flows (in thousands): </w:t>
      </w:r>
    </w:p>
    <w:p>
      <w:pPr>
        <w:pStyle w:val="TextBody"/>
        <w:bidi w:val="0"/>
        <w:jc w:val="left"/>
        <w:rPr/>
      </w:pPr>
      <w:r>
        <w:rPr/>
        <w:t> </w:t>
      </w:r>
    </w:p>
    <w:tbl>
      <w:tblPr>
        <w:tblW w:w="6522" w:type="dxa"/>
        <w:jc w:val="left"/>
        <w:tblInd w:w="0" w:type="dxa"/>
        <w:tblLayout w:type="fixed"/>
        <w:tblCellMar>
          <w:top w:w="28" w:type="dxa"/>
          <w:left w:w="28" w:type="dxa"/>
          <w:bottom w:w="28" w:type="dxa"/>
          <w:right w:w="28" w:type="dxa"/>
        </w:tblCellMar>
      </w:tblPr>
      <w:tblGrid>
        <w:gridCol w:w="3711"/>
        <w:gridCol w:w="146"/>
        <w:gridCol w:w="211"/>
        <w:gridCol w:w="676"/>
        <w:gridCol w:w="146"/>
        <w:gridCol w:w="146"/>
        <w:gridCol w:w="260"/>
        <w:gridCol w:w="835"/>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as of June 30, 2026 and December 31, 2025 was comprised as follows (in thousands): </w:t>
      </w:r>
    </w:p>
    <w:p>
      <w:pPr>
        <w:pStyle w:val="TextBody"/>
        <w:bidi w:val="0"/>
        <w:jc w:val="left"/>
        <w:rPr/>
      </w:pPr>
      <w:r>
        <w:rPr/>
        <w:t> </w:t>
      </w:r>
    </w:p>
    <w:tbl>
      <w:tblPr>
        <w:tblW w:w="10009" w:type="dxa"/>
        <w:jc w:val="left"/>
        <w:tblInd w:w="0" w:type="dxa"/>
        <w:tblLayout w:type="fixed"/>
        <w:tblCellMar>
          <w:top w:w="28" w:type="dxa"/>
          <w:left w:w="28" w:type="dxa"/>
          <w:bottom w:w="28" w:type="dxa"/>
          <w:right w:w="28" w:type="dxa"/>
        </w:tblCellMar>
      </w:tblPr>
      <w:tblGrid>
        <w:gridCol w:w="3261"/>
        <w:gridCol w:w="146"/>
        <w:gridCol w:w="3691"/>
        <w:gridCol w:w="146"/>
        <w:gridCol w:w="211"/>
        <w:gridCol w:w="736"/>
        <w:gridCol w:w="166"/>
        <w:gridCol w:w="146"/>
        <w:gridCol w:w="244"/>
        <w:gridCol w:w="851"/>
        <w:gridCol w:w="41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useful life or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Property, plant and equipment are recorded at historical cost, net of accumulated depreciation. Depreciation expense for the three months ended June 30, 2026 and 2025 was $0.4 million and $1.2 million, respectively. Depreciation expense for the six months ended June 30, 2026 and 2025 was $0.7 million and $2.5 million,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as of June 30, 2026 and December 31, 2025 were comprised as follows (in thousands): </w:t>
      </w:r>
    </w:p>
    <w:p>
      <w:pPr>
        <w:pStyle w:val="TextBody"/>
        <w:bidi w:val="0"/>
        <w:jc w:val="left"/>
        <w:rPr/>
      </w:pPr>
      <w:r>
        <w:rPr/>
        <w:t> </w:t>
      </w:r>
    </w:p>
    <w:tbl>
      <w:tblPr>
        <w:tblW w:w="7167" w:type="dxa"/>
        <w:jc w:val="left"/>
        <w:tblInd w:w="0" w:type="dxa"/>
        <w:tblLayout w:type="fixed"/>
        <w:tblCellMar>
          <w:top w:w="28" w:type="dxa"/>
          <w:left w:w="28" w:type="dxa"/>
          <w:bottom w:w="28" w:type="dxa"/>
          <w:right w:w="28" w:type="dxa"/>
        </w:tblCellMar>
      </w:tblPr>
      <w:tblGrid>
        <w:gridCol w:w="4461"/>
        <w:gridCol w:w="146"/>
        <w:gridCol w:w="211"/>
        <w:gridCol w:w="571"/>
        <w:gridCol w:w="146"/>
        <w:gridCol w:w="146"/>
        <w:gridCol w:w="294"/>
        <w:gridCol w:w="80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Company was authorized to issue 200,000,000 shares of common stock, $0.001 par value per share. Holders of common stock are entitled to one vote per share. In addition, holders of common stock are entitled to receive dividends, if and when declared by the Company’s Board of Directors. As of June 30, 2026, no dividends had been declared.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had reserved for future issuance the following number of shares of common stock: </w:t>
      </w:r>
    </w:p>
    <w:p>
      <w:pPr>
        <w:pStyle w:val="TextBody"/>
        <w:bidi w:val="0"/>
        <w:jc w:val="left"/>
        <w:rPr/>
      </w:pPr>
      <w:r>
        <w:rPr/>
        <w:t> </w:t>
      </w:r>
    </w:p>
    <w:tbl>
      <w:tblPr>
        <w:tblW w:w="7157" w:type="dxa"/>
        <w:jc w:val="left"/>
        <w:tblInd w:w="0" w:type="dxa"/>
        <w:tblLayout w:type="fixed"/>
        <w:tblCellMar>
          <w:top w:w="28" w:type="dxa"/>
          <w:left w:w="28" w:type="dxa"/>
          <w:bottom w:w="28" w:type="dxa"/>
          <w:right w:w="28" w:type="dxa"/>
        </w:tblCellMar>
      </w:tblPr>
      <w:tblGrid>
        <w:gridCol w:w="4156"/>
        <w:gridCol w:w="146"/>
        <w:gridCol w:w="146"/>
        <w:gridCol w:w="931"/>
        <w:gridCol w:w="146"/>
        <w:gridCol w:w="146"/>
        <w:gridCol w:w="148"/>
        <w:gridCol w:w="947"/>
        <w:gridCol w:w="3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Exercises of 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outstanding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performance stock unit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issuances under 2023 Stock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issuances under 2023 ESPP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issuances under 2026 Inducement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reserved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2,567,532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March 2026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2026, the Company entered into a subscription agreement with certain new and existing accredited investors to sell and issue in a private placement ("PIPE"): (i) an aggregate of 4,501,928 shares of its common stock at a purchase price of $11.11 per share and (ii) pre-funded warrants to acquire an aggregate 3,148,836 shares of its common stock at a purchase price of $11.109 per pre-funded warrant. The closing of the PIPE occurred on March 10, 2026 raising aggregate gross cash proceeds of approximately $85.0 million, before deducting placement agent fees and offering expenses of approximately $4.7 million. The pre-funded warrants have an exercise price of $0.001 per share. No pre-funded warrants have been exercised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assessed the pre-funded warrants for appropriate equity or liability classification pursuant to the Company’s accounting policy described in Note 2, Basis of Presentation and Summary of Significant Accounting Policies. During this assessment, the Company determined the pre-funded warrants are a freestanding instrument that does not meet the definition of a liability pursuant to ASC 480 and does not meet the definition of a derivative pursuant to ASC 815. The pre-funded warrants are indexed to the Company’s common stock and meet all other conditions for equity classification under ASC 815. Based on the results of this assessment, the Company concluded that the pre-funded warrants are a freestanding equity-linked financial instrument that meets the criteria for equity classification under ASC 815. Accordingly, the pre-funded warrants are classified as equity and accounted for as a component of additional paid-in capital at the time of issuance. The Company also determined that the pre-funded warrants should be included in the determination of basic and diluted earnings per share in accordance with ASC 260, Earnings per Share.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Equity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the Company filed a Shelf Registration Statement on Form S-3 (the "Shelf Registration Statement") with the Securities and Exchange Commission ("SEC"), which covered the offering, issuance and sale by the Company of up to an aggregate of $400.0 million of the Company's common stock, preferred stock, debt securities, units and/or warrants. The Shelf Registration Statement included a prospectus covering the offering, issuance and sale of up to $100.0 million of the Company's common stock from time to time through an "at-the-market" (“ATM”) offering under the Securities Act of 1933, as amended.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in December 2024, the Company entered into an Open Market Sale Agreement (the “Sales Agreement”) with TD Cowen Securities (USA) LLC ("TD Cowen"), acting as the Company's Agent and/or principal (the "Sales Agent") with respect to an ATM offering program under which the Company may from time to time, at its sole discretion, issue and sell shares of its common stock having an aggregate offering price of up to $100.0 million through the Sales Agent. TD Cowen is entitled to compensation for its services equal to up to 3.0% of the aggregate gross proceed of any shares of common stock sold through TD Cowen under the Sales Agreement. Pursuant to the Sales Agreement, any shares will be sold pursuant to the Shelf Registration Statement filed with the SEC on December 2, 2024, including the ATM prospectus contained therein, as declared effective by the SEC on December 9, 2024. In January 2026, the Company issued 501,861 shares of common stock under the Sales Agreement for gross proceeds of $5.1 million, before deducting offering expenses of approximately $0.1 million.</w:t>
      </w:r>
    </w:p>
    <w:p>
      <w:pPr>
        <w:pStyle w:val="TextBody"/>
        <w:bidi w:val="0"/>
        <w:spacing w:before="360" w:after="283"/>
        <w:jc w:val="left"/>
        <w:rPr>
          <w:rFonts w:ascii="Times New Roman" w:hAnsi="Times New Roman"/>
          <w:sz w:val="20"/>
        </w:rPr>
      </w:pPr>
      <w:r>
        <w:rPr>
          <w:rFonts w:ascii="Times New Roman" w:hAnsi="Times New Roman"/>
          <w:b/>
          <w:color w:val="000000"/>
          <w:sz w:val="20"/>
        </w:rPr>
        <w:t>9.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was authorized to issue up to 10,000,000 shares of preferred stock at a par value of $0.001 with no preferred stock shares issued or outstanding.</w:t>
      </w:r>
    </w:p>
    <w:p>
      <w:pPr>
        <w:pStyle w:val="TextBody"/>
        <w:bidi w:val="0"/>
        <w:spacing w:before="360" w:after="283"/>
        <w:jc w:val="left"/>
        <w:rPr>
          <w:rFonts w:ascii="Times New Roman" w:hAnsi="Times New Roman"/>
          <w:sz w:val="20"/>
        </w:rPr>
      </w:pPr>
      <w:r>
        <w:rPr>
          <w:rFonts w:ascii="Times New Roman" w:hAnsi="Times New Roman"/>
          <w:b/>
          <w:color w:val="000000"/>
          <w:sz w:val="20"/>
        </w:rPr>
        <w:t>10.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2026, the Company's Board of Directors adopted the Korro Bio, Inc. 2026 Inducement Plan (the "Inducement Plan"). The Inducement Plan provides for the grant of non-qualified stock options, stock appreciation rights, restricted stock units, restricted stock awards, unrestricted stock awards, and dividend equivalent rights. Awards under the Inducement Plan may only be granted to new employees who were not previously an employee or director of the Company or are commencing employment with the Company following a bona fide period of non-employment, in either case, as an inducement material to the individual's entering into employment with the Company and in accordance with the requirements of Nasdaq Listing Rule 5635(c)(4). A total of 100,000 shares of common stock were reserved for issuance under the Inducement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grants stock-based awards under its 2023 Stock Option and Incentive Plan (the "2023 Plan"), which was approved by the Company’s stockholders in November 2023. The Company also has outstanding stock option awards under the Korro Bio Ops, Inc. 2019 Plan (the "Legacy Korro 2019 Plan"), the Frequency 2014 Stock Incentive Plan (the "2014 Plan"), and the Frequency 2019 Incentive Award Plan (the "Frequency 2019 Plan"), but is no longer granting awards under these plans. The Company also has the option to issue shares under the 2023 Employee Stock Purchase Plan (the "2023 ESPP"), which was approved by the Company’s stockholders in November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stock-based compensation expense recognized in the consolidated statements of operations and comprehensive loss for the three and six months ended June 30, 2026 and 2025 was as follows (in thousands): </w:t>
      </w:r>
    </w:p>
    <w:p>
      <w:pPr>
        <w:pStyle w:val="TextBody"/>
        <w:bidi w:val="0"/>
        <w:jc w:val="left"/>
        <w:rPr/>
      </w:pPr>
      <w:r>
        <w:rPr/>
        <w:t> </w:t>
      </w:r>
    </w:p>
    <w:tbl>
      <w:tblPr>
        <w:tblW w:w="8812" w:type="dxa"/>
        <w:jc w:val="left"/>
        <w:tblInd w:w="0" w:type="dxa"/>
        <w:tblLayout w:type="fixed"/>
        <w:tblCellMar>
          <w:top w:w="28" w:type="dxa"/>
          <w:left w:w="28" w:type="dxa"/>
          <w:bottom w:w="28" w:type="dxa"/>
          <w:right w:w="28" w:type="dxa"/>
        </w:tblCellMar>
      </w:tblPr>
      <w:tblGrid>
        <w:gridCol w:w="3651"/>
        <w:gridCol w:w="146"/>
        <w:gridCol w:w="257"/>
        <w:gridCol w:w="697"/>
        <w:gridCol w:w="178"/>
        <w:gridCol w:w="178"/>
        <w:gridCol w:w="257"/>
        <w:gridCol w:w="697"/>
        <w:gridCol w:w="146"/>
        <w:gridCol w:w="146"/>
        <w:gridCol w:w="235"/>
        <w:gridCol w:w="637"/>
        <w:gridCol w:w="162"/>
        <w:gridCol w:w="162"/>
        <w:gridCol w:w="235"/>
        <w:gridCol w:w="637"/>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stock options granted during the six months ended June 30, 2026 and 2025 was calculated on the date of grant using the following weighted-average assumptions: </w:t>
      </w:r>
    </w:p>
    <w:p>
      <w:pPr>
        <w:pStyle w:val="TextBody"/>
        <w:bidi w:val="0"/>
        <w:jc w:val="left"/>
        <w:rPr/>
      </w:pPr>
      <w:r>
        <w:rPr/>
        <w:t> </w:t>
      </w:r>
    </w:p>
    <w:tbl>
      <w:tblPr>
        <w:tblW w:w="4663" w:type="dxa"/>
        <w:jc w:val="left"/>
        <w:tblInd w:w="0" w:type="dxa"/>
        <w:tblLayout w:type="fixed"/>
        <w:tblCellMar>
          <w:top w:w="28" w:type="dxa"/>
          <w:left w:w="28" w:type="dxa"/>
          <w:bottom w:w="28" w:type="dxa"/>
          <w:right w:w="28" w:type="dxa"/>
        </w:tblCellMar>
      </w:tblPr>
      <w:tblGrid>
        <w:gridCol w:w="2131"/>
        <w:gridCol w:w="146"/>
        <w:gridCol w:w="184"/>
        <w:gridCol w:w="588"/>
        <w:gridCol w:w="342"/>
        <w:gridCol w:w="184"/>
        <w:gridCol w:w="184"/>
        <w:gridCol w:w="588"/>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Using the Black-Scholes option pricing model, the weighted-average grant date fair value of stock options granted during the six months ended June 30, 2026 and 2025 was $8.62 and $19.42 per share,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changes in stock option activity during the six months ended June 30, 2026 (in thousands, except per share amounts): </w:t>
      </w:r>
    </w:p>
    <w:p>
      <w:pPr>
        <w:pStyle w:val="TextBody"/>
        <w:bidi w:val="0"/>
        <w:jc w:val="left"/>
        <w:rPr/>
      </w:pPr>
      <w:r>
        <w:rPr/>
        <w:t> </w:t>
      </w:r>
    </w:p>
    <w:tbl>
      <w:tblPr>
        <w:tblW w:w="8169"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230"/>
        <w:gridCol w:w="626"/>
        <w:gridCol w:w="146"/>
        <w:gridCol w:w="146"/>
        <w:gridCol w:w="285"/>
        <w:gridCol w:w="706"/>
        <w:gridCol w:w="146"/>
        <w:gridCol w:w="146"/>
        <w:gridCol w:w="290"/>
        <w:gridCol w:w="58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Compensation cost of $2.7 million and $3.8 million related to the options was recognized during the six months ended June 30, 2026 and 2025, respectively. Compensation cost of $1.4 million and $2.0 million related to the options was recognized during the three months ended June 30, 2026 and 2025,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six months ended June 30, 2026 and 2025 was $0.0 million and $0.3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there was unrecognized stock-based compensation expense related to unvested stock options of $11.2 million, which the Company expects to recognize over a weighted-average period of approximately 2.6 years.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granted Restricted Stock Units ("RSUs") to employees of the Company. RSUs are valued at the market price of a share of the Company’s stock on the date of grant. Compensation expense for RSUs is recognized on a straight-line basis over the service period. Forfeitures are recorded in the period in which they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changes in RSU activity during the six months ended June 30, 2026 (in thousands, except per share amounts): </w:t>
      </w:r>
    </w:p>
    <w:p>
      <w:pPr>
        <w:pStyle w:val="TextBody"/>
        <w:bidi w:val="0"/>
        <w:spacing w:before="120" w:after="283"/>
        <w:jc w:val="left"/>
        <w:rPr/>
      </w:pPr>
      <w:r>
        <w:rPr/>
        <w:t> </w:t>
      </w:r>
    </w:p>
    <w:tbl>
      <w:tblPr>
        <w:tblW w:w="7957" w:type="dxa"/>
        <w:jc w:val="left"/>
        <w:tblInd w:w="0" w:type="dxa"/>
        <w:tblLayout w:type="fixed"/>
        <w:tblCellMar>
          <w:top w:w="28" w:type="dxa"/>
          <w:left w:w="28" w:type="dxa"/>
          <w:bottom w:w="28" w:type="dxa"/>
          <w:right w:w="28" w:type="dxa"/>
        </w:tblCellMar>
      </w:tblPr>
      <w:tblGrid>
        <w:gridCol w:w="5176"/>
        <w:gridCol w:w="146"/>
        <w:gridCol w:w="146"/>
        <w:gridCol w:w="841"/>
        <w:gridCol w:w="166"/>
        <w:gridCol w:w="146"/>
        <w:gridCol w:w="254"/>
        <w:gridCol w:w="691"/>
        <w:gridCol w:w="3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 awards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 awards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cost of $2.0 million and $0.0 million related to the RSUs was recognized during the six months ended June 30, 2026 and 2025, respectively. Compensation cost of $1.0 million and $0.0 million related to the RSUs was recognized during the three months ended June 30, 2026 and 2025, respectively. As of June 30, 2026, there was unrecognized stock-based compensation expense related to unvested RSUs of $2.0 million, which the Company expects to recognize over a weighted-average period of approximately 0.3 years.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granted Performance Stock Units ("PSUs") to an employee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PSUs are valued at the market price of a share of the Company’s stock on the date of grant. Compensation expense for PSUs is recognized on a straight-line basis over the requisite service periods when the achievement of the performance condition is determined to be probable, using management's best estimate. If a performance condition is not determined to be probable or is not met, no stock-based compensation expense is recognized, and any previously recognized expense is reversed. Forfeitures are recorded in the period in which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changes in PSU activity during the six months ended June 30, 2026 (in thousands, except per share amounts): </w:t>
      </w:r>
    </w:p>
    <w:p>
      <w:pPr>
        <w:pStyle w:val="TextBody"/>
        <w:bidi w:val="0"/>
        <w:jc w:val="left"/>
        <w:rPr/>
      </w:pPr>
      <w:r>
        <w:rPr/>
        <w:t> </w:t>
      </w:r>
    </w:p>
    <w:tbl>
      <w:tblPr>
        <w:tblW w:w="8152" w:type="dxa"/>
        <w:jc w:val="left"/>
        <w:tblInd w:w="0" w:type="dxa"/>
        <w:tblLayout w:type="fixed"/>
        <w:tblCellMar>
          <w:top w:w="28" w:type="dxa"/>
          <w:left w:w="28" w:type="dxa"/>
          <w:bottom w:w="28" w:type="dxa"/>
          <w:right w:w="28" w:type="dxa"/>
        </w:tblCellMar>
      </w:tblPr>
      <w:tblGrid>
        <w:gridCol w:w="5431"/>
        <w:gridCol w:w="146"/>
        <w:gridCol w:w="146"/>
        <w:gridCol w:w="781"/>
        <w:gridCol w:w="166"/>
        <w:gridCol w:w="146"/>
        <w:gridCol w:w="254"/>
        <w:gridCol w:w="691"/>
        <w:gridCol w:w="39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stock unit awards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stock unit awards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cost of $0.7 million and $0.0 million related to the PSUs was recognized during the six months ended June 30, 2026 and 2025, respectively. Compensation cost of $0.2 million and $0.0 million related to the PSUs was recognized during the three months ended June 30, 2026 and 2025, respectively. As of June 30, 2026, there was unrecognized stock-based compensation expense related to unvested PSUs of $0.9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Collaboration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Genevant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2023, Legacy Korro entered into a collaboration and license agreement (the “Genevant Agreement”) with Genevant Sciences GmbH (“Genevant”). Key financial terms under the Genevant Agreement are as follows: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Company made a $2.5</w:t>
      </w:r>
      <w:r>
        <w:rPr>
          <w:color w:val="000000"/>
        </w:rPr>
        <w:t xml:space="preserve"> </w:t>
      </w:r>
      <w:r>
        <w:rPr>
          <w:rFonts w:ascii="Times New Roman" w:hAnsi="Times New Roman"/>
          <w:color w:val="000000"/>
          <w:sz w:val="20"/>
        </w:rPr>
        <w:t xml:space="preserve">million payment to Genevant in March 2023 upon execution of the Genevant Agreement and recorded the payment within research and development expense in the consolidated statement of operations and comprehensive loss for the year ended December 31, 2023.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will reimburse Genevant for certain out-of-pocket and full-time equivalent costs incurred as a result of research and development activities performed under the Genevant Agreement.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Genevant is entitled to receive payments from the Company upon the achievement of certain milestones, including potential clinical milestone payments of up to $13.5</w:t>
      </w:r>
      <w:r>
        <w:rPr>
          <w:color w:val="000000"/>
        </w:rPr>
        <w:t xml:space="preserve"> </w:t>
      </w:r>
      <w:r>
        <w:rPr>
          <w:rFonts w:ascii="Times New Roman" w:hAnsi="Times New Roman"/>
          <w:color w:val="000000"/>
          <w:sz w:val="20"/>
        </w:rPr>
        <w:t>million, potential regulatory and development milestone payments of up to $27.0</w:t>
      </w:r>
      <w:r>
        <w:rPr>
          <w:color w:val="000000"/>
        </w:rPr>
        <w:t xml:space="preserve"> </w:t>
      </w:r>
      <w:r>
        <w:rPr>
          <w:rFonts w:ascii="Times New Roman" w:hAnsi="Times New Roman"/>
          <w:color w:val="000000"/>
          <w:sz w:val="20"/>
        </w:rPr>
        <w:t>million, and potential commercial milestone payments up to an aggregate total of $57.0</w:t>
      </w:r>
      <w:r>
        <w:rPr>
          <w:color w:val="000000"/>
        </w:rPr>
        <w:t xml:space="preserve"> </w:t>
      </w:r>
      <w:r>
        <w:rPr>
          <w:rFonts w:ascii="Times New Roman" w:hAnsi="Times New Roman"/>
          <w:color w:val="000000"/>
          <w:sz w:val="20"/>
        </w:rPr>
        <w:t xml:space="preserve">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Genevant is eligible to receive royalties at percentage rates in the mid-single-digits, based on future annual net sales of licensed products within the scope of the Genevant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development milestones of $2.5 million had been achieved. The Company recorded $0.1 million and $1.8 million within research and development expense in the condensed consolidated statement of operations and comprehensive loss during the six months ended June 30, 2026 and 2025, respectively, related to the Genevant Agreement. The Company recorded $0.0 million and $0.1 million within research and development expense in the condensed consolidated statement of operations and comprehensive loss during the three months ended June 30, 2026 and 2025, respectively, related to the Genevant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Novo Nordisk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13, 2024, the Company entered into a research collaboration and license agreement with Novo Nordisk A/S (“Novo Nordisk”), pursuant to which the Company granted Novo Nordisk an exclusive worldwide license under certain intellectual property rights to research, develop, manufacture, commercialize or otherwise exploit certain licensed compounds and licensed products for an initial target in the cardiometabolic field and for a second target (to be nominated by Novo Nordisk within a specified time period as set forth in the agreement). Under the agreement, the Company is responsible for certain research and development activities with respect to licensed compounds and licensed products directed against the initial target and the second target (if nominated by Novo Nordisk), and the Company is eligible to receive cost reimbursement from Novo Nordisk for the Company's performance of such research and development activities under the agreement with respect to such target(s). Novo Nordisk may undertake subsequent worldwide development, manufacturing, marketing and commercialization of the licensed products directed against the initial target and the second target (if applicable). For additional information relating to the terms of such agreement, see Note 13 in the audited consolidated financial statements included in the 2025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2024, the Company received an upfront nonrefundable payment of $10.0 million from Novo Nordisk related to the first product candidate, or program target. The Company is entitled to an additional upfront nonrefundable payment from Novo Nordisk upon the selection of the second program target as well as related cost reimbursements.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assessed this arrangement in accordance with ASC </w:t>
      </w:r>
      <w:r>
        <w:rPr>
          <w:rFonts w:ascii="Times New Roman" w:hAnsi="Times New Roman"/>
          <w:i/>
          <w:color w:val="000000"/>
          <w:sz w:val="20"/>
        </w:rPr>
        <w:t xml:space="preserve">Topic 606, Revenue from Contracts with Customers, </w:t>
      </w:r>
      <w:r>
        <w:rPr>
          <w:rFonts w:ascii="Times New Roman" w:hAnsi="Times New Roman"/>
          <w:color w:val="000000"/>
          <w:sz w:val="20"/>
        </w:rPr>
        <w:t>and concluded that the contract counterparty, Novo Nordisk, is a customer. The Company determined that the research services and the exclusive licenses granted under the collaboration agreement for the initial target are not distinct and, therefore, the Company accounts for the research services and exclusive licenses as a single performance obligation. Additionally, the Company concluded that Novo Nordisk’s option to select a second target does not give rise to a material right or performance obligation until the additional target is selected due to the additional services being priced at standalone selling price. The Company recognizes revenue related to the combined license and research services performance obligation over time using the input method. Under the input method, the extent of progress towards completion is measured based on the ratio of costs incurred to date to the total estimated costs at completion of the performance obligation, which the Company believes best measures its progress towards satisfying the combined performance obligation. A cost-based input method of revenue recognition requires management to make estimates of costs to complete the performance obligation. In making such estimates, judgment is required to evaluate assumptions related to cost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November 11, 2025, the Company and Novo Nordisk entered into an amendment to the research collaboration and license agreement under which the Company and Novo Nordisk agreed to pause the research collaboration and license agreement for 12 months (the “hold period”), effective as of the date of the amendment. During the hold period, the parties agreed that all research and development activities and corresponding obligations under the agreement will be suspended without any liability or payment obligation for either party. The Company also agreed to promptly wind-down its research and development activities in connection with the license agreement and Novo Nordisk agreed to reimburse the Company for certain wind-down costs associated with the hold period. All wind-down activities were completed and reimbursed as of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total transaction price was determined to be $40.0 million based on the $10.0 million upfront nonrefundable payment and $30.0 million of estimated research services for the first program target. During the six months ended June 30, 2026 and 2025, the Company recognized total collaboration revenue of $0.0 million and $4.0 million, respectively. During the three months ended June 30, 2026 and 2025, the Company recognized total collaboration revenue of $0.0 million and $1.5 million, respectively. In November 2025, the Company agreed to a 12-month pause on such collaboration with Novo Nordisk, and accordingly, the Company is expected to recognize revenue through 2028.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$1.0 million of current deferred revenue and $6.8 million of non-current deferred revenue as of June 30, 2026, based on the period the services are expected to be performed and/or related costs to be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assess the probability of achieving the milestones and include them in the transaction price when they are deemed probable. Royalties and commercial sale milestones will be recognized when the subsequent sales occur based on the sales or usage-based royalty exception.</w:t>
      </w:r>
    </w:p>
    <w:p>
      <w:pPr>
        <w:pStyle w:val="TextBody"/>
        <w:bidi w:val="0"/>
        <w:spacing w:before="360" w:after="283"/>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party to an operating lease for 50,453 square feet of office and laboratory space at 60 First Street, Cambridge, Massachusetts (the “60 First Street Lease”). In May 2023, the Company obtained control over the space and the Company recognized the operating lease right-of-use asset and the operating lease liability of $26.8 million on the commencement date of the lease. The total rental payments over the 11-year lease are expected to be $62.1 million, including rent credits and other lease incentives per the terms of the lease. Specifically, the 60 First Street Lease provides the Company with a tenant improvement allowance of $13.1 million. The Company utilized full amount of the $13.1 million tenant improvement allowance as of December 31, 2024. The lease has a remaining term of approximately eight years. The Company has an option to extend the lease for an additional period of five years with the rent during the option period being the then fair market rent.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maturity of undiscounted payments due under lease liabilities and the present value of those liabilities as of June 30, 2026 were as follows (in thousands):</w:t>
      </w:r>
    </w:p>
    <w:tbl>
      <w:tblPr>
        <w:tblW w:w="5173" w:type="dxa"/>
        <w:jc w:val="left"/>
        <w:tblInd w:w="0" w:type="dxa"/>
        <w:tblLayout w:type="fixed"/>
        <w:tblCellMar>
          <w:top w:w="28" w:type="dxa"/>
          <w:left w:w="28" w:type="dxa"/>
          <w:bottom w:w="28" w:type="dxa"/>
          <w:right w:w="28" w:type="dxa"/>
        </w:tblCellMar>
      </w:tblPr>
      <w:tblGrid>
        <w:gridCol w:w="3691"/>
        <w:gridCol w:w="146"/>
        <w:gridCol w:w="250"/>
        <w:gridCol w:w="875"/>
        <w:gridCol w:w="2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Leases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fourth quarter of 2025, the Company recorded a non-cash, long-lived asset impairment charge of $15.0 million related to its operating right-of-use asset. For additional information relating to the charge, see Note 3 in the audited consolidated financial statements included in the 2025 Form 10-K.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weighted average remaining lease term was 7.8 years and the weighted average incremental borrowing rate used to determine the operating lease liability was 11.2%.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combines the lease and non-lease components of fixed costs in its lease arrangements as a single lease component. Variable costs, such as utilities and maintenance costs, are not included in the measurement of right-of-use assets and lease liabilities, but rather are expensed when the event determining the amount of variable consideration to be paid occurs.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effect of lease costs in the Company’s condensed consolidated statement of operations and comprehensive loss of its operating leases (in thousands):</w:t>
      </w:r>
    </w:p>
    <w:tbl>
      <w:tblPr>
        <w:tblW w:w="7037" w:type="dxa"/>
        <w:jc w:val="left"/>
        <w:tblInd w:w="0" w:type="dxa"/>
        <w:tblLayout w:type="fixed"/>
        <w:tblCellMar>
          <w:top w:w="28" w:type="dxa"/>
          <w:left w:w="28" w:type="dxa"/>
          <w:bottom w:w="28" w:type="dxa"/>
          <w:right w:w="28" w:type="dxa"/>
        </w:tblCellMar>
      </w:tblPr>
      <w:tblGrid>
        <w:gridCol w:w="1876"/>
        <w:gridCol w:w="146"/>
        <w:gridCol w:w="257"/>
        <w:gridCol w:w="697"/>
        <w:gridCol w:w="178"/>
        <w:gridCol w:w="178"/>
        <w:gridCol w:w="257"/>
        <w:gridCol w:w="697"/>
        <w:gridCol w:w="146"/>
        <w:gridCol w:w="146"/>
        <w:gridCol w:w="235"/>
        <w:gridCol w:w="637"/>
        <w:gridCol w:w="162"/>
        <w:gridCol w:w="162"/>
        <w:gridCol w:w="235"/>
        <w:gridCol w:w="637"/>
        <w:gridCol w:w="3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not subject to any material legal proceedings or claims as of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indemnifies each of its officers and directors for certain events or occurrences, subject to certain limits, while the officer or director is or was serving at the Company’s request in such capacity, as permitted under Delaware law and in accordance with the Company’s amended and restated certificate of incorporation and bylaws. The term of the indemnification period lasts as long as an officer or director may be subject to any proceeding arising out of acts or omissions of such officer or director in such capacity.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maximum amount of potential future indemnification is unlimited; however, the Company currently holds director and officer liability insurance. This insurance allows the transfer of risk associated with the Company’s exposure and may enable the Company to recover a portion of any future amounts paid. The Company believes that the fair value of these potential indemnification obligations is minimal. Accordingly, the Company has not recognized any liabilities relating to these obligations for any period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13. 401(k) Savings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defined-contribution savings plan (the “401(k) Plan”) under Section 401(k) of the Internal Revenue Code of 1986, as amended (the "IRC"). The 401(k) Plan covers all employees who meet defined minimum age and service requirements and allows participants to defer a portion of their annual compensation, subject to statutory limitations. Effective in 2025, the Company makes an employer non-elective safe harbor contribution of 3% of the participant’s salary, subject to employer match limitations under the IRC. As such, the Company made $0.2 million and $0.3 million of matching contributions to the 401(k) Plan during the six months ended June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14.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3,148,836 shares underlying the pre-funded warrants are included in the calculation of basic and diluted net loss per share as of June 30, 2026, as the exercise price of $0.001 per share is not substantive and the shares are issuable for little or no consideration. No pre-funded warrants were outstanding as of June 30, 2025. The following common stock equivalents have been excluded from the calculation of diluted net loss per share because their effect would be anti-dilutive: </w:t>
      </w:r>
    </w:p>
    <w:p>
      <w:pPr>
        <w:pStyle w:val="TextBody"/>
        <w:bidi w:val="0"/>
        <w:jc w:val="left"/>
        <w:rPr/>
      </w:pPr>
      <w:r>
        <w:rPr/>
        <w:t> </w:t>
      </w:r>
    </w:p>
    <w:tbl>
      <w:tblPr>
        <w:tblW w:w="6174" w:type="dxa"/>
        <w:jc w:val="left"/>
        <w:tblInd w:w="0" w:type="dxa"/>
        <w:tblLayout w:type="fixed"/>
        <w:tblCellMar>
          <w:top w:w="28" w:type="dxa"/>
          <w:left w:w="28" w:type="dxa"/>
          <w:bottom w:w="28" w:type="dxa"/>
          <w:right w:w="28" w:type="dxa"/>
        </w:tblCellMar>
      </w:tblPr>
      <w:tblGrid>
        <w:gridCol w:w="3391"/>
        <w:gridCol w:w="146"/>
        <w:gridCol w:w="146"/>
        <w:gridCol w:w="931"/>
        <w:gridCol w:w="146"/>
        <w:gridCol w:w="146"/>
        <w:gridCol w:w="146"/>
        <w:gridCol w:w="93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1,782,231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stock unit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2,222,701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1,790,280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manages its business as one reportable segment and one operating segment, which is the business of discovering, developing and commercializing therapies derived from or incorporating its RNA-editing technology. The Company's chief operating decision maker ("CODM") is the chief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monitors budget versus actual results, and decides how to allocate resources based on net loss that also is reported on the consolidated statements of operations and comprehensive loss. The CODM allocates resources based on the Company's available cash resources, forecasted cash flow, and expenditures on a consolidated basis, as well as an assessment of the probability of success of its research and development activities. Resource allocation decisions are informed by budgeted and forecasted expense information, along with actual expenses incurred to date. The accounting policies of the Company's single reportable segment are the same as those described in the summary of significant accounting policies. The level of disaggregation and amounts of significant segment expenses that are regularly provided to the CODM are the same as those presented in the consolidated statements of operations and comprehensive loss. Therefore, duplication of the Company’s consolidated statements of operations and comprehensive loss in this segment disclosure is not required.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segment assets is reported on the consolidated balance sheets as total consolidated assets. All long-lived assets are located in the United States. Long-lived assets primarily consist of property and equipment, net, operating lease right-of-use assets and long-term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used in determining the reportable segment include the nature of the Company's operating activities, the organizational and reporting structure and the type of information reviewed by the CODM regularly to allocate resources and evaluate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have intra-entity sales or transfers.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2025, the Company implemented a strategic plan to streamline its operations, including a reduction in the Company’s workforce by approximately 20%. In November 2025, the Company implemented a strategic restructuring to extend cash runway, including a reduction in the Company’s workforce by approximately 34%.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2025, the Company recorded a one-time restructuring charge of $1.2 million related to the May 2025 workforce reduction, including employee severance, benefits and related termination costs and are included under the caption “Restructuring charge” in the Company’s consolidated statement of operations and comprehensive loss. During the year ended December 31, 2025, all activities related to the May 2025 workforce reduction were completed. The remaining payments related to the November 2025 workforce reduction are expected to be paid by the third quarter of 2026. Restructuring cost accruals are included under the caption “Accrued expenses and other current liabilities” in the Company's condensed consolidated balance sheet.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the activity for the November 2025 Workforce Reduction:</w:t>
      </w:r>
    </w:p>
    <w:p>
      <w:pPr>
        <w:pStyle w:val="TextBody"/>
        <w:bidi w:val="0"/>
        <w:jc w:val="left"/>
        <w:rPr/>
      </w:pPr>
      <w:r>
        <w:rPr/>
        <w:t> </w:t>
      </w:r>
    </w:p>
    <w:tbl>
      <w:tblPr>
        <w:tblW w:w="3824" w:type="dxa"/>
        <w:jc w:val="left"/>
        <w:tblInd w:w="0" w:type="dxa"/>
        <w:tblLayout w:type="fixed"/>
        <w:tblCellMar>
          <w:top w:w="28" w:type="dxa"/>
          <w:left w:w="28" w:type="dxa"/>
          <w:bottom w:w="28" w:type="dxa"/>
          <w:right w:w="28" w:type="dxa"/>
        </w:tblCellMar>
      </w:tblPr>
      <w:tblGrid>
        <w:gridCol w:w="2596"/>
        <w:gridCol w:w="146"/>
        <w:gridCol w:w="218"/>
        <w:gridCol w:w="653"/>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w:t>
              <w:br/>
              <w:t>separation</w:t>
              <w:br/>
              <w:t>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5, 2026, the Company entered into an exchange agreement with entities affiliated with Venrock Healthcare Capital Partners ("Venrock"), pursuant to which (i) Venrock agreed to surrender an aggregate of 1,000,000 shares of the Company's common stock, par value $0.001 per share, for no consideration, to the Company, and (ii) the Company agreed to issue pre-funded warrants to purchase an aggregate of 1,000,000 shares of its common stock, with an exercise price of $0.001 per share and no expiration date. The pre-funded warrants are exercisable immediately and have terms substantially identical to the pre-funded warrants issued in the March 2026 PIPE described in Note 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9" w:name="item_2_management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included elsewhere in this Quarterly Report and the audited consolidated financial statements and related notes included in our Annual Report on Form 10-K for the year ended December 31, 2025, or the 2025 10-K.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under the heading “Risk Factors” in Part II, Item 1A of this Quarterly Report our actual results could differ materially from the results described in or implied by the forward-looking statements contained in the following discussion and analysis. See also “Cautionary Statement Regarding Forward-Looking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leveraging a novel oligonucleotide promoted editing of RNA, or OPERA, platform to develop a new class of genetic medicines for rare and highly prevalent diseases. OPERA provides precise, tissue-directed delivery of RNA-editing oligonucleotides, or REOs, that modify the targeted native mRNA transcript to repair or form a de-novo protein with enhanced functionality. The platform combines a suite of capabilities consisting of sophisticated knowledge of transcription biology through ADAR proteins (Adenosine Deaminases Acting on RNA), machine learning optimization of REOs, linker chemistry expertise, along with use of a highly targeted tissue-specific delivery methodology. As such, the OPERA platform has enabled us to generate and advance a portfolio of differentiated programs that are designed to harness the body’s natural RNA editing process, providing precise yet transient single base edits to produce therapeutic proteins with augmented activity versus its endogenous counterpart. By editing RNA instead of DNA, we are expanding the reach of genetic medicines by delivering additional precision and tunability, which has the potential for increased specificity and improved long-term tolerability. Using an REO-based approach, we expect to bring our medicines to patients by leveraging our proprietary OPERA platform with precedented delivery modalities, including N-acetylgalactosamine, or GalNAc, conjugated for delivery for subcutaneous administration, manufacturing know-how, and established regulatory pathways of approved oligonucleotide medicines. However, the scientific evidence to support the feasibility of developing our development candidates using our RNA editing technology is both preliminary and limited. Moreover, regulators have not yet established any definitive guidelines related to overall development considerations for RNA editing therapies and limited clinical data has been generated to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versatility of RNA editing combined with our OPERA platform broadens the therapeutic target space significantly. The advent of large-scale genome sequencing has progressively revealed causal genetic variation underlying several human diseases, both rare and highly prevalent. Genetic mutations, including single nucleotide variants, or SNVs, implicated in disease have been found to be diverse in nature and can affect the function of genes and their associated downstream biochemical pathways. Data correlating DNA to RNA to disease phenotype have demonstrated that SNVs lead to a loss-of-function or a gain-of-function of the gene. In addition, the majority of SNVs implicated in complex diseases are due to modulation of gene function. By editing RNA to mimic an SNV, we believe we will be able to address unmet patient need by transiently modifying gene expression and the resultant protein function.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continue to make meaningful advancements across our programs, including KRRO-121 as a potential first-in-class treatment for hyperammonemia that has the potential to address substantial unmet need in patients with poor ammonia control, including those with urea cycle disorders, or UCD, and hepatic encephalopathy, or HE. KRRO-121 is a GalNAc-conjugated REO for the potential treatment of hyperammonemia in patients with UCDs of any mutational background as well as patients with HE. Utilizing our proprietary OPERA platform, KRRO-121 is designed to obviate the need for a functional urea cycle and instead generate a stabilized, </w:t>
      </w:r>
      <w:r>
        <w:rPr>
          <w:rFonts w:ascii="Times New Roman" w:hAnsi="Times New Roman"/>
          <w:i/>
          <w:color w:val="000000"/>
          <w:sz w:val="20"/>
        </w:rPr>
        <w:t>de novo</w:t>
      </w:r>
      <w:r>
        <w:rPr>
          <w:rFonts w:ascii="Times New Roman" w:hAnsi="Times New Roman"/>
          <w:color w:val="000000"/>
          <w:sz w:val="20"/>
        </w:rPr>
        <w:t xml:space="preserve"> glutamine synthetase, or GS, protein, a critical enzyme in an alternate pathway involved in ammonia clearance. This synthetic rescue approach is designed to augment ammonia clearance in hyperammonemia-driven diseases such as UCDs and HE. Our preclinical data support the potential for KRRO-121 to be a pan-UCD treatment that may control ammonia levels, along with the potential to enable diet liberalization, reduce dependence on nitrogen scavengers, and lower the risk of hyperammonemic crises. KRRO-121 also has the potential to enhance ammonia control in HE patients, which may reduce the risk of recurrent HE episodes. KRRO-121 may offer infrequent subcutaneous dosing, which, if confirmed in clinical studies, could offer significant improvement over current treatments that require multiple daily doses. KRRO-121 has the potential to be a differentiated, first-in-class, disease-modifying therapy for both UCD and HE. In August 2026, we announced the European Medicines Agency, or EMA, granted orphan drug designation for KRRO-121 for patients with UCDs. We remain on track to commence a first-in-human trial for KRRO-121 in the second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advancing our other early-stage research and development programs. In May 2026, we announced KRRO-111, our development candidate for the potential treatment of AATD. KRRO-111 is a proprietary GalNAc-conjugated REO that is delivered subcutaneously to the liver cells, where it is engineered to co-opt the hepatocytes’ endogenous ADAR enzyme and repair a pathogenic SNV on alpha-1 antitrypsin, or AAT, mRNA to restore production of normal AAT protein. This therapeutic profile and titratable dosing position KRRO-111 as a potential best-in-class candidate. In preclinical studies, KRRO-111 demonstrated best-in-class RNA editing where over 90% of the AAT transcripts in the liver cells have been corrected, translating into approximately 90% M-AAT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protein. In a repeat-dose study, KRRO-111 was administered to PiZZ mice with a loading phase followed by dosing once every two weeks. KRRO-111 demonstrated a reduction of non-inclusion Z-AAT by approximately 95% and a reduction in pre-existing aggregates by approximately 62% at day 28 with RNA editing in a mouse model of AATD. Pre-existing aggregates were progressively cleared, with inclusion-associated Z-AAT significantly reduced by approximately 62% at day 28, consistent with autophagic clearance of accumulated protein following successful editing. By simultaneously increasing circulating M-AAT protein and decreasing pathogenic Z-AAT aggregates in the lung, KRRO-111 has the potential to be the best-in-disease agent, improving both lung and liver manifestations of the disease. We also expect to nominate a development candidate for a third GalNAc-conjugated program in the second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focused primarily on organizing and staffing our company, business planning, raising capital, securing related intellectual property, and conducting research and development activities for our potential programs and development candidates. Since inception, we have funded our operations primarily through the private placement of our equity securities. To date, we have raised approximately $501.0 million of aggregate gross proceeds from sales of our equity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since inception. Our net losses were $38.5 million and $49.2 million for the six months ended June 30, 2026 and 2025, respectively. We had an accumulated deficit of $422.4 million as of June 30, 2026. We expect to continue to incur significant and increasing expenses and operating losses and negative operating cash flows for the foreseeable future as we continue our research and development efforts, advance development candidates through clinical development, and seek regulatory approvals for our development candidates. Our net losses may fluctuate significantly from quarter-to-quarter and year-to-year, depending on the timing of our preclinical studies, initiation and conduct of any clinical trials, and our expenditures on other research and development activities, including the expansion of our pipeline.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development candidates approved for sale and have not generated any revenue from product sales. We will not generate revenue from product sales unless and until we successfully obtain regulatory approval for our development candidates, if ever, and as appropriate, move pipeline candidates into the clinic and complete clinical development. If we obtain regulatory approval for our development candidates and do not enter into third-party commercialization partnerships, we expect to incur significant expenses related to developing commercialization capabilities to support product sales, marketing, manufacturing and distribution activities. As a result, we will need substantial additional funding to support our continuing operations and pursue our development and growth strategy. Until we can generate significant revenue from product sales, if ever, we expect to finance our operations through a combination of public or private offerings of securities,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revenue from product sales, and do not expect to generate any revenue from the sale of products in the near future. During the six months ended June 30, 2026 and 2025, we recognized $0.0 million and $4.0 million of collaboration revenue, respectively, which is related to our research collaboration and license agreement with Novo Nordisk. In November 2025, we agreed to a 12-month pause on such collaboration with Novo Nordisk, accordingly, we do not expect to recognize any material collaboration revenue under such agreement during the 12-month hold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about our revenue recognition policy and our collaboration and license agreement with Novo Nordisk, which is now paused, see Note 11 in the condensed consolidated financial statements included in this Quarterly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for our research activities, including our discovery of novel genetic medicines and the development of our development candidates, salaries and benefits, and third-party license fees. We expense research and development costs as incurred,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stock-based compensation and other related costs for those employees involved in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contract research organizations, or CROs, that conduct our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purchasing lab supplies and non-capital equipment used in our preclinical activities and in manufacturing preclinical study materials, as well as supplies and materials used to manufacture clinical trial materials;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outside consultants and contractors engaged in research and development activities, including their fees and travel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made under third-party licensing agreements;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and allocated expenses for facilities.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certain activities are recognized based on an evaluation of the progress to completion of specific tasks using data such as information provided to us by our vendors and analyzing the progress of our preclinical studies, clinical trials or other services performed. Nonrefundable advance payments for goods or services to be received in the future for use in research and development activities are capitalized. The capitalized amounts are expensed as the related goods are delivered or the services are performed. Significant judgment and estimates are made in determining the accrued expense balances and prepaid expense balances at the end of any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large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and facility expenses, mainly including office rent expenses and depreciation expenses. We do not allocate our internal research and development expenses to specific drug candidate programs as they are deployed across multiple projects under research and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development of our development candidates is highly uncertain. We plan to substantially increase our research and development expenses for the foreseeable future as we continue the development of our development candidates, conduct discovery and research activities for our preclinical programs, and expand our pipeline. We cannot determine with certainty the timing of initiation, the duration or the completion costs of current or future preclinical studies and clinical trials of our development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development candidates to pursue and how much funding to direct to each development candidate on an ongoing basis in response to the results of ongoing and future preclinical studies and clinical trials, regulatory developments and our ongoing assessments as to each development candidate’s commercial potential. Our clinical development costs are expected to increase significantly as we commence clinical trials. We anticipate that our expenses will increase substantially, particularly due to the numerous risks and uncertainties associated with developing development candidates, including the uncertainty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rate of progress, and expenses of our ongoing research activities as well as any preclinical studies, clinical trials and other research and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 appropriate safety profile with IND enabling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in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our development candidates show safety and efficacy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commercializing development candidates, if and when approved, whether alone or in collaboration with others;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continued acceptable safety profile of products following any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changes in the outcome of any of these variables with respect to the development of our development candidates in preclinical and clinical development could mean a significant change in the costs and timing associated with the development of these development candidates. We may never succeed in achieving regulatory approval for any of our development candidates. We may obtain unexpected results from our clinical trials. We may elect to discontinue, delay or modify clinical trials of some development candidates or focus on other development candidates. For example, if the Food and Drug Administration, or FDA, European Medicines Agency, or EMA, the Human Research Ethics Committee, or HREC, Therapeutic Goods Administration, or TGA, the Health and Disability Ethics Committees, or HDEC, or another regulatory authority were to delay the planned start of clinical trials or require us to conduct clinical trials or other testing beyond those that we currently expect or if we experience significant delays in enrollment in any planned clinical trial, we could be required to expend significant additional financial resources and time on the completion of clinical development of that development candidate.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employee related costs, including salaries, bonuses, benefits, stock-based compensation and other related costs for our executive and administrative functions. General and administrative expenses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 professional services, including legal, finance, accounting, human resources and other consulting fees. General and administrative expenses also include facility costs not otherwise included in research and development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costs associated with being a public company and maintaining controls over financial reporting, including costs of accounting, audit, legal, regulatory, compliance and director and officer insurance costs as well as investor and public relations expenses.</w:t>
      </w:r>
    </w:p>
    <w:p>
      <w:pPr>
        <w:pStyle w:val="TextBody"/>
        <w:bidi w:val="0"/>
        <w:spacing w:before="240" w:after="283"/>
        <w:jc w:val="left"/>
        <w:rPr>
          <w:rFonts w:ascii="Times New Roman" w:hAnsi="Times New Roman"/>
          <w:sz w:val="20"/>
        </w:rPr>
      </w:pPr>
      <w:r>
        <w:rPr>
          <w:rFonts w:ascii="Times New Roman" w:hAnsi="Times New Roman"/>
          <w:i/>
          <w:color w:val="000000"/>
          <w:sz w:val="20"/>
        </w:rPr>
        <w:t>Restructuring Charges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we announced a strategic plan to streamline our operations, including a workforce reduction of approximately 20%, and in November 2025 announced a further workforce reduction of approximately 34%. Restructuring charges consist primarily of severance and employee benefits costs incurred in relation to our reductions in force.</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primarily consists of interest income earned on money market fund accounts and marketable securities.</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Three and Six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and six months ended June 30, 2026 and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85"/>
        <w:gridCol w:w="146"/>
        <w:gridCol w:w="213"/>
        <w:gridCol w:w="745"/>
        <w:gridCol w:w="167"/>
        <w:gridCol w:w="147"/>
        <w:gridCol w:w="213"/>
        <w:gridCol w:w="745"/>
        <w:gridCol w:w="166"/>
        <w:gridCol w:w="146"/>
        <w:gridCol w:w="211"/>
        <w:gridCol w:w="631"/>
        <w:gridCol w:w="166"/>
        <w:gridCol w:w="146"/>
        <w:gridCol w:w="211"/>
        <w:gridCol w:w="736"/>
        <w:gridCol w:w="166"/>
        <w:gridCol w:w="146"/>
        <w:gridCol w:w="211"/>
        <w:gridCol w:w="736"/>
        <w:gridCol w:w="166"/>
        <w:gridCol w:w="146"/>
        <w:gridCol w:w="211"/>
        <w:gridCol w:w="736"/>
        <w:gridCol w:w="613"/>
      </w:tblGrid>
      <w:tr>
        <w:trPr/>
        <w:tc>
          <w:tcPr>
            <w:tcW w:w="2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(18,916</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10,616</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and 2025, we recognized $0.0 million and $1.5 million, respectively, of collaboration revenue from our research collaboration and license agreement with Novo Nordisk. During the six months ended June 30, 2026 and 2025, we recognized $0.0 million and $4.0 million, respectively, of collaboration revenue from our research collaboration and license agreement with Novo Nordisk. In November 2025, we agreed to a 12-month pause on our collaboration with Novo Nordisk. Accordingly, we do not expect to recognize any material collaboration revenue under such agreement during the 12-month hold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and six months ended June 30, 2026 and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46"/>
        <w:gridCol w:w="146"/>
        <w:gridCol w:w="219"/>
        <w:gridCol w:w="703"/>
        <w:gridCol w:w="151"/>
        <w:gridCol w:w="151"/>
        <w:gridCol w:w="219"/>
        <w:gridCol w:w="703"/>
        <w:gridCol w:w="146"/>
        <w:gridCol w:w="146"/>
        <w:gridCol w:w="211"/>
        <w:gridCol w:w="631"/>
        <w:gridCol w:w="166"/>
        <w:gridCol w:w="146"/>
        <w:gridCol w:w="211"/>
        <w:gridCol w:w="676"/>
        <w:gridCol w:w="146"/>
        <w:gridCol w:w="146"/>
        <w:gridCol w:w="211"/>
        <w:gridCol w:w="676"/>
        <w:gridCol w:w="146"/>
        <w:gridCol w:w="146"/>
        <w:gridCol w:w="211"/>
        <w:gridCol w:w="736"/>
        <w:gridCol w:w="216"/>
      </w:tblGrid>
      <w:tr>
        <w:trPr/>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Development candidate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KRRO-110 (AATD) 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KRRO-111 (AATD)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KRRO-121 (UCD) 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research and pre-development candidate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Facilities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$13.6 million for the three months ended June 30, 2026, compared to $20.1 million for the three months ended June 30, 2025. The decrease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$6.1 million decrease in KRRO-110 external expenses primarily due to the termination of the Phase 1/2a REWRITE clinical trial during the first quarter of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$1.7 million decrease in other research and pre-development candidate expenses primarily due to a decrease in lab supplies and consumables;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$1.3 million decrease in personnel-related expenses, primarily due to a decrease in headcount resulting from the May and November 2025 workforce reductions, partially offset by an increase in stock-based compensation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$0.7 million decrease in facilities expenses primarily due to a decrease in depreciation expense attributable to the impairment charge recorded during the fourth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offset by a $1.7 million increase in KRRO-111 external expenses, primarily due to an increase in preclinical and manufacturing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$1.6 million increase in KRRO-121 external expenses, primarily due to an increase in preclinical and manufacturing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$26.5 million for the six months ended June 30, 2026, compared to $39.9 million for the six months ended June 30, 2025. The decrease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$11.5 million decrease in KRRO-110 external expenses primarily due to the termination of the Phase 1/2a REWRITE clinical trial during the first quarter of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$3.8 million decrease in personnel-related expenses, primarily due to a decrease in headcount resulting from the May and November 2025 workforce reductions, partially offset by an increase in stock-based compensation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$3.6 million decrease in other research and pre-development candidate expenses primarily due to a decrease in lab supplies and consumables;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$1.6 million decrease in facilities expenses primarily due to a decrease in depreciation expense attributable to the impairment charge recorded during the fourth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offset by a $4.9 million increase in KRRO-121 external expenses, primarily due to an increase in preclinical and manufacturing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$2.2 million increase in KRRO-111 external expenses, primarily due to an increase in preclinical and manufacturing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for the three and six months ended June 30, 2026 and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19"/>
        <w:gridCol w:w="146"/>
        <w:gridCol w:w="241"/>
        <w:gridCol w:w="655"/>
        <w:gridCol w:w="167"/>
        <w:gridCol w:w="167"/>
        <w:gridCol w:w="241"/>
        <w:gridCol w:w="655"/>
        <w:gridCol w:w="146"/>
        <w:gridCol w:w="146"/>
        <w:gridCol w:w="211"/>
        <w:gridCol w:w="481"/>
        <w:gridCol w:w="166"/>
        <w:gridCol w:w="146"/>
        <w:gridCol w:w="211"/>
        <w:gridCol w:w="676"/>
        <w:gridCol w:w="146"/>
        <w:gridCol w:w="146"/>
        <w:gridCol w:w="211"/>
        <w:gridCol w:w="676"/>
        <w:gridCol w:w="146"/>
        <w:gridCol w:w="146"/>
        <w:gridCol w:w="211"/>
        <w:gridCol w:w="631"/>
        <w:gridCol w:w="418"/>
      </w:tblGrid>
      <w:tr>
        <w:trPr/>
        <w:tc>
          <w:tcPr>
            <w:tcW w:w="3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6,522</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were $6.5 million for the three months ended June 30, 2026, compared to $7.3 million for the three months ended June 30, 2025. The decrease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$0.5 million decrease in other expenses, primarily due to a decrease in information technology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$0.2 million decrease in professional services;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$0.2 million decrease in facilities expenses primarily due to a decrease in depreciation expense attributable to the impairment charge recorded during the fourth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offset by a $0.1 million increase in personnel expenses mainly due to increased stock-based compensation costs, partially offset by a decrease in headcount resulting from the May and November 2025 workforce reductions.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were $14.0 million for the six months ended June 30, 2026, compared to $15.1 million for the six months ended June 30, 2025. The decrease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$0.8 million decrease in other expenses, primarily due to a decrease in information technology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$0.4 million decrease in facilities expenses primarily due to a decrease in depreciation expense attributable to the impairment charge recorded during the fourth quarter of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$0.2 million decrease in professional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offset by a $0.3 million increase in personnel expenses mainly due to increased stock-based compensation costs, partially offset by a decrease in headcount resulting from the May and November 2025 workforce reductions.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charges for the three and six months ended June 30, 2025 consisted of $1.2 million of employee termination benefits related to our workforce reduction in May 2025. During the year ended December 31, 2025, all activities related to our May 2025 workforce reduction were completed. We did not incur any restructuring charges for the three and six months ended June 30, 2026.</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was $1.3 million for the three months ended June 30, 2026, compared to $1.4 million for the three months ended June 30, 2025. The decrease of $0.1 million was primarily due to fluctuations in foreign currency exchange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was $2.2 million for the six months ended June 30, 2026, compared to $3.1 million for the six months ended June 30, 2025. The decrease of $0.9 million was primarily due to lower interest income generated from a lower cash, cash equivalent and marketable securities balance during the year prior to our $85.0 million March 2026 private placement, or the March 2026 PIPE, and fluctuations in foreign currency exchange rates.</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generated recurring net losses. We have not yet commercialized any product and we do not expect to generate revenue from sales of any products for several years, if at all. Since inception, we have funded our operations primarily through proceeds from the issuance of convertible preferred stock and common stock. To date, we have raised approximately $501.0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million of aggregate gross proceeds from sales of our equity securities. As of June 30, 2026, we had cash, cash equivalents and marketable securities of $137.9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incurred significant operating losses and, as of June 30, 2026, had an accumulated deficit of $422.4 million. We expect to continue to incur significant expenses, operating losses, and negative operating cash flows for the foreseeable future. In addition, we have not yet commercialized any product and we do not expect to generate revenue from sales of any products for several years,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we entered into a sales agreement with TD Cowen Securities (USA) LLC, or TD Cowen, under which we may, from time to time, issue and sell shares of our common stock having aggregate sales proceeds of up to $100.0 million, in a series of one or more at-the-market equity, or ATM, offerings. In January 2026, we issued 501,861 shares of common stock under the ATM offering program for gross proceeds of $5.1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we closed the March 2026 PIPE selling (i) an aggregate of 4,501,928 shares of our common stock at a purchase price of $11.11 per share and (ii) pre-funded warrants to acquire an aggregate 3,148,836 shares of our common stock (at an exercise price of $0.001 per share) at a purchase price of $11.109 per pre-funded warrant, which resulted in gross cash proceeds of approximately $85.0 million, before deducting placement agent fees and offering expenses of approximately $4.7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cash equivalents and marketable securities of $137.9 million. We expect that our cash, cash equivalents and marketable securities outstanding as of June 30, 2026 will be sufficient to fund our operating expenses and capital expenditure requirements into the second half of 2028. We have based this estimate on assumptions that may prove to be wrong, and we could expend our capital resources sooner than we expect. We may also pursue additional cash resources through public or private equity, collaborations or debt financings. There is no assurance that we will be successful in obtaining sufficient financing on acceptable terms to continue funding our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expenses, operating losses, and negative operating cash flows for the foreseeable future as we continue our novel genetic medicine discovery efforts, advance our pipeline candidates into the clinic and through clinical trials, seek regulatory approval of our development candidates and pursue commercialization of any approved development candidates. In addition, we expect to continue to incur costs associated with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research, development and commercialization of our development candidates, we are unable to estimate the exact amount of our working capital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discovery, preclinical development, laboratory testing, manufacturing and clinical trials for KRRO-121, KRRO-111, and other development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continuing to build our OPERA platform and discover additional novel genetic medicines;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partner our programs, acquire or in-license other lead candidates, development candidates and technologies or enters into additional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meeting regulatory requirements established by the FDA, EMA and other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milestone and royalty payments that we are required to make or eligible to receive under any future collaboration and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headcount growth and associated costs, should we expand our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expanding, maintaining and enforcing our intellectual property portfolio, including filing, prosecuting, defending and enforcing our patent claims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defending potential intellectual property disputes, including patent infringement actions brought by third parties against us or any of our lead candidates or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any development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completion of commercial-scale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development candidates or grant licenses on terms that may not be favorable to us and/or may reduce the value of our common shares. If we are unable to raise additional funds through equity or debt financings when needed, we may be required to delay, limit, reduce or terminate our product research and development or grant rights to develop and market our development candidates even if we would otherwise prefer to develop and market such development candidates ourselves.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six months ended June 30, 2026 and 2025: </w:t>
      </w:r>
    </w:p>
    <w:p>
      <w:pPr>
        <w:pStyle w:val="TextBody"/>
        <w:bidi w:val="0"/>
        <w:jc w:val="left"/>
        <w:rPr/>
      </w:pPr>
      <w:r>
        <w:rPr/>
        <w:t> </w:t>
      </w:r>
    </w:p>
    <w:tbl>
      <w:tblPr>
        <w:tblW w:w="8129"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736"/>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was $33.1 million for the six months ended June 30, 2026, primarily resulted from our net loss of $38.5 million, which was primarily attributable to our research and development activities and our general and administrative expenses and changes in our operating assets and liabilities of $1.2 million, offset by $6.6 million of non-cash items.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was $43.7 million for the six months ended June 30, 2025, primarily resulted from our net loss of $49.2 million, which was primarily attributable to our research and development activities and our general and administrative expenses and changes in our operating assets and liabilities of $0.7 million, offset by $6.2 million of non-cash items. </w:t>
      </w:r>
    </w:p>
    <w:p>
      <w:pPr>
        <w:pStyle w:val="TextBody"/>
        <w:bidi w:val="0"/>
        <w:spacing w:before="240" w:after="283"/>
        <w:jc w:val="left"/>
        <w:rPr>
          <w:rFonts w:ascii="Times New Roman" w:hAnsi="Times New Roman"/>
          <w:sz w:val="20"/>
        </w:rPr>
      </w:pPr>
      <w:r>
        <w:rPr>
          <w:rFonts w:ascii="Times New Roman" w:hAnsi="Times New Roman"/>
          <w:i/>
          <w:color w:val="000000"/>
          <w:sz w:val="20"/>
        </w:rPr>
        <w:t>Cash (Used in) Provided by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$50.1 million for the six months ended June 30, 2026 and consisted of the purchase of marketable securities and the purchase of property and equipment, offset by proceeds from maturities of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$21.5 million for the six months ended June 30, 2025 and consisted of the proceeds from maturities of marketable securities, offset by the purchase of marketable securities and the purchase of property and equipment.</w:t>
      </w:r>
    </w:p>
    <w:p>
      <w:pPr>
        <w:pStyle w:val="TextBody"/>
        <w:bidi w:val="0"/>
        <w:spacing w:before="360" w:after="283"/>
        <w:jc w:val="left"/>
        <w:rPr>
          <w:rFonts w:ascii="Times New Roman" w:hAnsi="Times New Roman"/>
          <w:sz w:val="20"/>
        </w:rPr>
      </w:pPr>
      <w:r>
        <w:rPr>
          <w:rFonts w:ascii="Times New Roman" w:hAnsi="Times New Roman"/>
          <w:i/>
          <w:color w:val="000000"/>
          <w:sz w:val="20"/>
        </w:rPr>
        <w:t>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$85.3 million for the six months ended June 30, 2026 and consisted of net proceeds from the March 2026 PIPE, sales of shares under our ATM program, and exercises of stock options.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$0.2 million for the six months ended June 30, 2025 and consisted primarily of proceeds from exercises of stock options.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 in light of changes in circumstances, facts, and experience. The effects of material revisions in estimates, if any, will be reflected in the consolidated financial statements prospectively from the date of change in estimates. See the 2025 10-K for more information about our critical accounting policies as well as a description of our other significant accounting policies.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have been no material changes to our critical accounting estimates from those described in Part II, Item 7.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included in the 2025 10-K.</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and recently adopted accounting pronouncements applicable to our financial position and results of operations is included in Note 2 to our condensed consolidated financial statements.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jc w:val="left"/>
        <w:rPr>
          <w:rFonts w:ascii="Times New Roman" w:hAnsi="Times New Roman"/>
          <w:color w:val="000000"/>
          <w:sz w:val="20"/>
        </w:rPr>
      </w:pPr>
      <w:r>
        <w:rPr>
          <w:rFonts w:ascii="Times New Roman" w:hAnsi="Times New Roman"/>
          <w:color w:val="000000"/>
          <w:sz w:val="20"/>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cash equivalents and marketable securities of $137.9 million, which consist of bank deposits, money market funds and U.S. Treasury and other government-backed securities. Interest income is sensitive to changes in the general level of interest rates; however, due to the nature of these investments, an immediate 10% change in market interest rates would not have a material effect on the fair market value of our cash or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pStyle w:val="TextBody"/>
        <w:bidi w:val="0"/>
        <w:spacing w:before="360" w:after="283"/>
        <w:jc w:val="left"/>
        <w:rPr>
          <w:rFonts w:ascii="Times New Roman" w:hAnsi="Times New Roman"/>
          <w:b/>
          <w:color w:val="000000"/>
          <w:sz w:val="20"/>
        </w:rPr>
      </w:pPr>
      <w:bookmarkStart w:id="11" w:name="item_4_controls_and_procedure"/>
      <w:bookmarkEnd w:id="11"/>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who serves as our principal executive officer and principal financial officer, has evaluated the effectiveness of our disclosure controls and procedures as of June 30, 2026. Based on such evaluation, our Chief Executive Officer has concluded that our disclosure controls and procedures were effective at the reasonable assurance level as of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our most recently completed fiscal quarter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subject to various legal proceedings and claims that arise in the ordinary course of our business activities. Although the results of litigation and claims cannot be predicted with certainty, as of the date of this Quarterly Report,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consider carefully the risks and uncertainties described below, together with all of the other information in this Quarterly Report and in our other filings with the Securities and Exchange Commission, or SEC. We operate in a dynamic and rapidly changing industry that involves numerous risks and uncertainties. The risks and uncertainties described below are not the only ones we face. Other risks and uncertainties, including those that we do not currently consider material, may impair our business. If any of the risks discussed below actually occur, our business, financial condition, operating results or cash flows could be materially adversely affected. This Quarterly Report also contains forward-looking statements that involve risks and uncertainties. Our actual results could differ materially from those anticipated in these forward-looking statements as a result of certain factors, including the risks we face as described below and elsewhere in this Quarterly Report. See “Cautionary Statement Regarding Forward 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significant losses since inception. We expect to incur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incurred significant operating losses. Our net loss was $38.5 million and $49.2 million for the six months ended June 30, 2026 and 2025, respectively. As of June 30, 2026, we had an accumulated deficit of $422.4 million. We have financed our operations primarily through private placements of our convertible preferred stock and common stock, and sales under our ATM offering program. Substantially all of our losses have resulted from expenses incurred in connection with our research and development and from general and administrative costs associated with our operations, and recently, a $30.9 million impairment charge in the fourth quarter of 2025 related to our operating lease right-of-use asset and fixed assets. We expect to continue to incur significant expenses, increasing operating losses, and negative operating cash flows for the foreseeable future. The net losses we incur may fluctuate significantly from quarter to quarter.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progress our development candidates, including KRRO-121 and KRRO-111, through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current research programs and preclinical and clinical development of any lead candidates or development candidates we may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additional research programs and lead candidates, and nominate development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develop OPERA, our RNA editing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enforce, defend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approvals for any development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and enhance a sustainable, scalable, reproducible and transferable manufacturing process for the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ultimately establish a sales, marketing and distribution infrastructure to commercialize any products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personnel as we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lead candidates, development candidates, intellectual property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we decide to do so, build and maintain a commercial-scale current good manufacturing practices, or cGMP, manufacturing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operate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it will be many years, if ever, before we have an RNA editing product ready for commercialization. To become and remain profitable, we must develop and, either directly or through collaborators, eventually commercialize a product or products with market potential. This will require us to be successful in a range of challenging activities, including identifying lead candidates, completing preclinical studies and clinical trials of development candidates, obtaining marketing approval for these development candidates, manufacturing, marketing and selling those products for which we may obtain marketing approval and satisfying any post-marketing requirements. We may never succeed in these activities and, even if we are, may never generate revenues that are significant or large enough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we announced that we did not reach projected levels of protein in patients in our Phase 1/2a REWRITE clinical trial of KRRO-110 for AATD (which we subsequently terminated), and our other programs are in early stages of development. In addition, we undertook workforce reductions in May 2025 and November 2025, and in the fourth quarter of 2025, as a result of identified indicators of impairment for our long-lived assets, primarily including our operating lease right-of-use, or ROU, asset, and property and equipment, we recognized a non-cash, long-lived asset impairment charge of $30.9 million. Because of the numerous risks and uncertainties associated with developing lead candidates and development candidates, and the risks associated with conducting preclinical studies and clinical trials,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business or continue our operations. A decline in our value could also cause you to lose all or part of your investment. Further, we may not even experience the expected benefits of our May 2025 and November 2025 workforce reductions or our decision to discontinue clinical development of KRRO-110. Further, the long-lived asset impairment charges recognized may affect how investors, analysts, and counterparties assess our financial position and prospects, potentially making it more difficult or expensive to raise capital or enter into collaborations on favorable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never generated revenue from product sales and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from product sales and achieve profitability depends on our ability, alone or with collaborative partners, to successfully complete the development of, and obtain the regulatory approvals necessary to commercialize, candidates we may identify for development. We do not anticipate generating revenues from product sales for many years, if ever. Our ability to generate future revenues from product sales depends heavily on our, or our collaborators’, ability to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lead candidates and successfully complete research and development of such lead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and obtain regulatory and marketing approvals for any development candidates for which we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 and commercialize any development candidates for which we may obtain regulatory and marketing approval by establishing a sales force, marketing and distribution infrastructure, or alternatively, collaborating with a commercialization partner;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qualify for adequate coverage and reimbursement by government and third-party payors for any development candidates for which we may obtain regulatory and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supply and manufacturing relationships with third parties that can provide adequate, in both amount and quality, products and services to support clinical development and the market demand for any development candidates for which we obtain regulatory and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and enhance a sustainable, scalable, reproducible and transferable manufacturing process for the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negotiate favorable terms in any existing or future collaboration, licensing or other arrangements and perform our obligations in such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market acceptance by physicians, patients, healthcare payors, and others in the medical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enforce, defend and expand our portfolio of intellectual property and other proprietary rights,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 against third party intellectual property claims of infringement, misappropriation or other violation;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top talent and retain qualified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expenses could increase beyond expectations if we are required by the FDA, the EMA, HREC, or TGA, or other regulatory authorities to perform clinical and other studies in addition to those that we currently anticipate. Even if one or more of the candidates we may develop are approved for commercial sale, we anticipate incurring significant costs associated with commercializing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approved development candidate. Additionally, such products may become subject to unfavorable pricing regulations, third-party reimbursement practices or healthcare reform initiatives. Even if we are able to generate revenues from the sale of any approved development candidates, we may not become profitable and may need to obtain additional funding to continue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substantial additional funding. If we are unable to raise capital when needed, we will be forced to delay, reduce, eliminate or prioritize among our research and development programs or future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continue to increase in connection with our ongoing activities, particularly as we identify, continue the research and development of, initiate preclinical studies and clinical trials of, and seek marketing approval for, our lead candidates and development candidates. Because we have limited financial and managerial resources, we have prioritized our research programs and REO optimization efforts in specific indications among many potential options. Specifically, our initial development programs target liver and central nervous systems indications, amongst others. As a result of this prioritization, we may forego or delay pursuit of opportunities with other lead candidates or development candidates or for other indications that later prove to have greater clinical or commercial potential and we may need to reprioritize our focus in the future. Our resource allocation decisions may cause us to fail to capitalize on viable commercial products or profitable market opportunities. For example, KRRO-110, which used an LNP delivery system, did not reach projected levels of protein in patients in our now terminated Phase 1/2a REWRITE clinical trial for AATD and we have since transitioned to a GalNAc-conjugated delivery system for our AATD program and are now developing KRRO-111, a GalNAc-conjugated REO for AATD. Our spending on current and future research and development programs, lead candidates, and development candidates for specific indications may not yield any commercially viable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obtain marketing approval for any candidates we may develop, we expect to incur significant commercialization expenses related to product sales, marketing, manufacturing and distribution to the extent that such sales, marketing, manufacturing and distribution are not the responsibility of a collaborator.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pStyle w:val="TextBody"/>
        <w:bidi w:val="0"/>
        <w:spacing w:before="120" w:after="283"/>
        <w:jc w:val="left"/>
        <w:rPr>
          <w:rFonts w:ascii="Times New Roman" w:hAnsi="Times New Roman"/>
          <w:sz w:val="20"/>
        </w:rPr>
      </w:pPr>
      <w:r>
        <w:rPr>
          <w:rFonts w:ascii="Times New Roman" w:hAnsi="Times New Roman"/>
          <w:color w:val="000000"/>
          <w:sz w:val="20"/>
        </w:rPr>
        <w:t>As of June 30, 2026, our cash, cash equivalents and marketable securities were $137.9 million, excluding restricted cash, or $140.3 million, including restricted cash. We believe our existing cash, cash equivalents and marketable securities will be sufficient to fund our operating expenses and capital expenditure requirements through several value-creating milestones and into the second half of 2028. However, our operating plan may change as a result of factors currently unknown, and expectations regarding our cash runway and ability to reach data inflection points are based on numerous assumptions that may prove to be untrue. As a result, we may be required to raise capital sooner than anticipated and our exposure to certain contingent liabilities and contractual obligations may be greater than anticipated. Our future capital requirements will depend on many other factors, including those discussed in the risk factor entitled “</w:t>
      </w:r>
      <w:r>
        <w:rPr>
          <w:rFonts w:ascii="Times New Roman" w:hAnsi="Times New Roman"/>
          <w:i/>
          <w:color w:val="000000"/>
          <w:sz w:val="20"/>
        </w:rPr>
        <w:t>We have incurred significant losses since inception. We expect to incur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additional fundraising efforts may divert our management from their day-to-day activities, which may adversely affect our ability to develop and commercialize any development candidates. We cannot be certain that additional funding will be available on acceptable terms or at all. Although we have an effective shelf registration statement and an at-the-market offering program, we have not sold any shares under the program and we have no committed source of additional capital. If we are unable to raise additional capital in sufficient amounts or on terms acceptable to us, we may have to significantly delay, scale back or discontinue the development or commercialization of any development candidates or other research and development initiatives. We could be required to seek collaborators for potential lead candidates earlier than we would otherwise plan or on terms that are less favorable than might otherwise be available. We could also be required to relinquish or license our rights to lead candidates on unfavorable terms in certain markets where we otherwise would seek to pursue development or commercialization ourselves.</w:t>
      </w:r>
    </w:p>
    <w:p>
      <w:pPr>
        <w:pStyle w:val="TextBody"/>
        <w:bidi w:val="0"/>
        <w:spacing w:before="360" w:after="283"/>
        <w:jc w:val="left"/>
        <w:rPr>
          <w:rFonts w:ascii="Times New Roman" w:hAnsi="Times New Roman"/>
          <w:sz w:val="20"/>
        </w:rPr>
      </w:pPr>
      <w:r>
        <w:rPr>
          <w:rFonts w:ascii="Times New Roman" w:hAnsi="Times New Roman"/>
          <w:b/>
          <w:i/>
          <w:color w:val="000000"/>
          <w:sz w:val="20"/>
        </w:rPr>
        <w:t>We did not reach projected levels of protein in patients in our now terminated Phase 1/2a REWRITE clinical trial of KRRO-110 for AATD and have transitioned to KRRO-111, a GalNAc-conjugated delivery for our AATD program, and may experience delays in developing a potential treatment for AATD. We have not completed any clinical trials nor reported any clinical trial results for any of our proposed delivery methods or RNA editing approaches. Any favorable results we may have from our earlier preclinical studies may not be predictive of results that may be observed in later preclinical studies or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scientific evidence to support the feasibility of developing development candidates using our proprietary RNA editing technology is both preliminary and limited. We dosed very few participants in our now terminated Phase 1/2a REWRITE clinical trial of KRRO-110 for AATD. Although we observed functional protein in AATD patients following a single administration of KRRO-110, we did not reach projected levels of protein in patients as of the data cut off date. We have not completed any clinical trials for any of our proposed delivery methods or RNA editing approaches, and we have transitioned from LNP to GalNAc-conjugated delivery for KRRO-111, our REO for our AATD program. Accordingly, we may experience delays in developing a potential treatment for AATD. In the future, we may use other delivery modalities to deliver our other lead candidates. While LNPs have been validated clinically to deliver oligonucleotides, such as siRNA, they were not clinically proven to deliver oligonucleotides for RNA editing, such as KRRO-110 and our other lead candidates. Similarly, while GalNAc-conjugated delivery has been validated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multiple FDA-approved oligonucleotide therapeutics, there are no FDA-approved GalNAc-conjugated REO therapeutics. Both of our most advanced programs, KRRO-121 and KRRO-111, utilize GalNAc-conjugated delivery. If GalNAc-conjugated delivery fails to effectively deliver our REOs, multiple programs in our pipeline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proprietary RNA editing technology itself may lead to other issues, such as inability to deliver the desired efficacy or safety-related consequences as it is tested in clinical trials. The design of a clinical trial can determine whether its results will support approval of a development candidate and flaws in the design of a clinical trial may not become apparent until the clinical trial is well advanced. Furthermore, preclinical and clinical data are often susceptible to varying interpretations and analyses, and many companies that have believed their development candidates performed satisfactorily in preclinical studies and clinical trials have nonetheless failed to obtain marketing approval of their development candidates. Many lead candidates that initially showed promise in early stage testing for treating a variety of diseases have later been found to lack efficacy or to cause side effects that prevented further clinical development. Accordingly, any favorable results we may have from our earlier preclinical studies may not be predictive of results that may be observed in further preclinical studies or clinical trials.</w:t>
      </w:r>
    </w:p>
    <w:p>
      <w:pPr>
        <w:pStyle w:val="TextBody"/>
        <w:bidi w:val="0"/>
        <w:spacing w:before="360" w:after="283"/>
        <w:jc w:val="left"/>
        <w:rPr>
          <w:rFonts w:ascii="Times New Roman" w:hAnsi="Times New Roman"/>
          <w:sz w:val="20"/>
        </w:rPr>
      </w:pPr>
      <w:r>
        <w:rPr>
          <w:rFonts w:ascii="Times New Roman" w:hAnsi="Times New Roman"/>
          <w:b/>
          <w:i/>
          <w:color w:val="000000"/>
          <w:sz w:val="20"/>
        </w:rPr>
        <w:t>If preclinical studies or clinical trials of any lead candidate or development candidate we may identify fail to demonstrate safety and efficacy to the satisfaction of regulatory authorities or do not otherwise produce positive results, we may incur additional costs or experience delays in completing, or ultimately be unable to complete, the development and commercialization of such development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any development candidates we may identify and develop, we must complete preclinical development and then conduct extensive clinical trials to demonstrate safety and efficacy in humans. Clinical testing is expensive, difficult to design and implement, can take many years to complete, and the outcome is uncertain. A failure of one or more clinical trials can occur at any stage of development. The outcome of preclinical testing and early clinical trials may not be predictive of the success of later clinical trials, and interim results of a clinical trial do not necessarily predict final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preclinical and clinical data are often susceptible to varying interpretations and analyses. Many companies that have believed their lead candidates or development candidates performed satisfactorily in preclinical studies and clinical trials have nonetheless failed, preventing marketing approval of their development candidates. For example, despite our preclinical data, we did not reach projected levels of protein in AATD patients in our REWRITE Phase 1/2a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collaborators, if any, may experience numerous unforeseen events during, or as a result of, clinical trials that could delay or prevent our ability to receive marketing approval or commercialize any development candidates we may identify and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regulators on trial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institutional review boards, or IRBs, or independent ethics committees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or failing to reach agreement on acceptable clinical trial contracts or clinical trial protocols with prospective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any development candidates we may develop may produce negative or inconclusive results, and we may decide, or regulators may require us, to conduct additional clinical trials or abandon product development or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designing well-controlled clinical trials due to ethical considerations that may render it inappropriate to conduct a trial with a control arm that can be effectively compared to a treatment arm;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designing clinical trials and selecting endpoints for diseases that have not been well-studied and for which the natural history and course of the disease is poorly understood;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may be larger than we anticipate; enrollment of suitable participants in these clinical trials, which may be particularly challenging for some of the rare genetically defined diseases such as UCD, may be delayed or slower than we anticipate; or patients may drop out of these clinical trials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IRBs, or independent ethics committees may require that we or our investigators suspend or terminate clinical research or clinical trials of any development candidates we may develop for various reasons, including noncompliance with regulatory requirements, a finding of undesirable side effects or other unexpected characteristics, or that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rFonts w:ascii="Times New Roman" w:hAnsi="Times New Roman"/>
          <w:color w:val="000000"/>
          <w:sz w:val="20"/>
        </w:rPr>
        <w:t>participants are being exposed to unacceptable health risks or after an inspection of our clinical trial operations or trial sites;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any development candidates may be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any development candidates or other materials necessary to conduct clinical trials of any development candidates may be insufficient or inadequate, including as a result of delays in the testing, validation, manufacturing, and delivery of any development candidates to the clinical sites by us or by third parties with whom we have contracted to perform certain of those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having patients complete participation in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sites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selection of clinical endpoints that require prolonged periods of clinical observation or analysis of the resulting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serious adverse events associated with any development candidates that are viewed to outweigh their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serious adverse events in trials of the same class of agents conducted by other sponsors;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collaborators are required to conduct additional clinical trials or other testing of any development candidates beyond those that we currently contemplate, if we or our collaborators are unable to successfully complete clinical trials or other testing of any development candidates, or if the results of these trials or tests are not positive or are only modestly positive or if there are safety concerns, we or our collaborators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marketing approval for any such development candidates or not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choose to, or be required to, revise or transition strategy for our development candidates or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intended or desired;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or safety warnings, including boxed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changes in the way the product is administered;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required to perform additional clinical trials to support approval or be subject to additional post-marketing testing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regulatory authorities withdraw, or suspend, their approval of the product or impose restrictions on our distribution in the form of a REMS or through modification to an existing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damage to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development candidates we may develop, could allow our competitors to bring products to market before we do, and could impair our ability to successfully commercialize any development candidates we may develop, any of which may harm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is substantially dependent on the success of KRRO-121, our lead development candidate, and if KRRO-121 fails to advance successfully, our business would be materially and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concentrated a significant portion of our current resources and efforts on the advancement of KRRO-121, our lead development candidate for the treatment of hyperammonemia, including UCD and HE. KRRO-121 is in preclinical development and has not been tested in humans. KRRO-121 utilizes GalNAc-conjugated delivery and is designed to generate a stabilized, </w:t>
      </w:r>
      <w:r>
        <w:rPr>
          <w:rFonts w:ascii="Times New Roman" w:hAnsi="Times New Roman"/>
          <w:i/>
          <w:color w:val="000000"/>
          <w:sz w:val="20"/>
        </w:rPr>
        <w:t>de novo</w:t>
      </w:r>
      <w:r>
        <w:rPr>
          <w:rFonts w:ascii="Times New Roman" w:hAnsi="Times New Roman"/>
          <w:color w:val="000000"/>
          <w:sz w:val="20"/>
        </w:rPr>
        <w:t xml:space="preserve"> variant of GS with enhanced ammonia clearance capacity. We anticipate submitting a regulatory filing to enable commencement of a first-in-human clinical trial in the second half of 2026. However, there can be no assurance that KRRO-121 will demonstrate safety or efficacy in humans, that our regulatory filing will be accepted, or that we will be able to initiate or complete clinical trials on our anticipated timeline. If KRRO-121 fails to demonstrate safety or efficacy, or if we experience significant delays in its regulatory filing or clinical development, our business, financial condition, results of operations and prospects would be materially and adversely affected. Following the termination of our REWRITE clinical program investigating KRRO-110 for AATD, we only recently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nominated KRRO-111, our GalNac-conjugated REO for AATD and it is in early stages of clinical development. Our other programs, including our longevity and liver health program targeting AMPKγ1, and our ALS program targeting TDP-43, are in earlier stages of preclinical development and may not advance to clinical development on a timely basis, or at all.</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experience delays or difficulties in the enrollment of patients in clinical trials, or other delays in our clinical trials, our receipt of necessary regulatory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a new development candidate require the enrollment of a sufficient number of patients, including patients who are suffering from the disease the development candidate is intended to treat and who meet other eligibility criteria. Rates of patient enrollment are affected by many factors, including the stage and severity of disease, the nature and requirements of the protocol, the proximity of patients to clinical sites, the availability of effective treatments for the relevant disease, and the eligibility criteria for the clinical trial, possible adverse effects from treatments, the existence of competing clinical trials, the involvement of patient advocacy groups, the availability of new or alternative treatments, lack of efficacy, personnel issues and ease of participation in our clinical trials, among others. Clinical trials can also be impacted by other events unrelated to our business, such as geopolitical events and unrest, such as recent hostilities involving Iran, global pandemics (e.g., COVID-19), or economic uncertainty, including imposition of tariffs that impact the supply chain, or disruptions due to government shutdowns, which can impact regulatory reviews. In April 2025, the United States imposed tariffs on imports on its trading partners and tariff policy (and trading partners subject to such tariffs) has continued to evolve. Historically, tariffs have led to increased costs, political and trade tensions, which negatively affect global supply chains. These types of events can disrupt clinical trial sites and delay patient enrollment, all of which would have a negative impact on our business and ability to obtain regulatory approval.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Discovery, Development and Commercialization</w:t>
      </w:r>
    </w:p>
    <w:p>
      <w:pPr>
        <w:pStyle w:val="TextBody"/>
        <w:bidi w:val="0"/>
        <w:spacing w:before="120" w:after="283"/>
        <w:jc w:val="left"/>
        <w:rPr>
          <w:rFonts w:ascii="Times New Roman" w:hAnsi="Times New Roman"/>
          <w:sz w:val="20"/>
        </w:rPr>
      </w:pPr>
      <w:r>
        <w:rPr>
          <w:rFonts w:ascii="Times New Roman" w:hAnsi="Times New Roman"/>
          <w:b/>
          <w:i/>
          <w:color w:val="000000"/>
          <w:sz w:val="20"/>
        </w:rPr>
        <w:t>The gene editing field and RNA editing in particular is relatively new and is evolving rapidly. We are very early in our development efforts and may not be successful in identifying and developing any candidates. It will be many years before we or our collaborators commercialize a development candidate or generate any revenues, if ever. Additionally, other genetic medicine technologies may be discovered that provide significant advantages over RNA editing, which could materially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depends primarily upon our ability to identify, develop and commercialize development candidates. We are very early in our development efforts and have focused our research and development efforts to date on developing OPERA, our RNA editing platform, and identifying our initial targeted disease indications. We currently only have two nominated development candidates in our pipeline, KRRO-121, and more recently, KRRO-111, as we terminated further development of KRRO-110 after it failed to reach projected levels of protein in our first in-human clinical trial. Although we believe we can demonstrate many of the key advantages of RNA editing, because we are very early in our development efforts, we are not yet certain of the results we may achieve, which may be important for registration and commercialization of any candidates we successfully develop. Such uncertainties include, but are not limited to, the level of editing efficiency needed in a target tissue type to achieve a clinical benefit, and associated safety of our edits in humans. We have also not yet shown that preclinical editing activity can result in clinically important effects, nor that the data generated by our preclinical studies can translate into positive results in clinical trials.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All of our product development programs are still in the research or preclinical stage of development. Our research methodology may be unsuccessful in identifying lead candidates, our development candidates may be shown to have harmful side effects in preclinical </w:t>
      </w:r>
      <w:r>
        <w:rPr>
          <w:rFonts w:ascii="Times New Roman" w:hAnsi="Times New Roman"/>
          <w:i/>
          <w:color w:val="000000"/>
          <w:sz w:val="20"/>
        </w:rPr>
        <w:t>in vitro</w:t>
      </w:r>
      <w:r>
        <w:rPr>
          <w:rFonts w:ascii="Times New Roman" w:hAnsi="Times New Roman"/>
          <w:color w:val="000000"/>
          <w:sz w:val="20"/>
        </w:rPr>
        <w:t xml:space="preserve"> experiments or animal model studies, they may not show promising signals of therapeutic effect in such experiments or studies or they may have other characteristics that may make the development candidates impractical to manufacture, unmarketable, or unlikely to receive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pharmacological properties ascribed to the lead candidates we are testing in preclinical studies may not be positively demonstrated in clinical trials in patients, and they may interact with human biological systems in unforeseen, ineffective or harmful ways (such as we experienced in our REWRITE Phase 1/2a clinical trial). If our development candidates prove to be ineffective, unsafe or commercially unviable, OPERA and our pipeline would have little, if any, value, which would substantially harm our business, financial condition, results of operations and prospects. In addition, our approach, which focuses on using oligonucleotides for drug development, as opposed to multiple or other, more advanced proven technologies, and new products and technologies that may enter the market, may expose us to additional financial risks and make it more difficult to raise additional capital if we are not successful in developing one or more development candidates that receive regulatory approval. Our ability to generate product revenue, which we do not expect will occur for many years, if ever, will depend heavily on the successful development and eventual commercialization of any development candidates we may discover, which may never occur. We currently generate no revenue from sales of any product, and we may never be able to develop or commercialize a marketable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although we believe OPERA, our RNA editing platform, will position us to expand our portfolio of development candidates beyond the initial candidates we may develop, we have not yet successfully developed any candidate and our ability to expand our portfolio may never materialize. </w:t>
      </w:r>
    </w:p>
    <w:p>
      <w:pPr>
        <w:pStyle w:val="TextBody"/>
        <w:bidi w:val="0"/>
        <w:spacing w:before="360" w:after="283"/>
        <w:jc w:val="left"/>
        <w:rPr>
          <w:rFonts w:ascii="Times New Roman" w:hAnsi="Times New Roman"/>
          <w:sz w:val="20"/>
        </w:rPr>
      </w:pPr>
      <w:r>
        <w:rPr>
          <w:rFonts w:ascii="Times New Roman" w:hAnsi="Times New Roman"/>
          <w:b/>
          <w:i/>
          <w:color w:val="000000"/>
          <w:sz w:val="20"/>
        </w:rPr>
        <w:t>RNA editing is a novel technology with limited clinical validation for human therapeutic use. The approaches we take to discover and develop novel therapeutics are unproven and may never lead to marketable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focused on developing products based on RNA editing. Although there have been significant advances in the field of gene editing in recent years, RNA editing technologies are new and largely unproven. The technologies that we have developed have not yet completed clinical development. The scientific evidence to support the feasibility of developing development candidates based on these technologies is both preliminary and limited. Successful development of development candidates by us will require solving a number of issues, including optimizing the efficiency and specificity of such development candidates, and ensuring the therapeutic selectivity of such development candidates. There can be no assurance we will be successful in solving any or all of these issues.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concentrated our research efforts to date on preclinical work to bring therapeutics to the clinic for our initial indications, and our future success is highly dependent on the successful development of OPERA, our RNA editing platform, as well as cellular delivery methods and therapeutic applications of that technology. While some of the existing, non-RNA editing, gene editing technologies developed by third parties have progressed to clinical trials, they continue to suffer from various limitations, and such limitations may affect our future success. While a number of clinical trials for oligonucleotide products conducted by other companies have not been successful, some have received regulatory approval. The pharmacological properties ascribed to the development candidates we are testing or will test in the future may not be positively demonstrated in clinical trials in patients, and they may interact with human biological systems in unforeseen, ineffective or harmful ways. If our development candidates prove to be ineffective, unsafe or commercially unviable, our OPERA platform and our pipeline would have little, if any, value, which would substantially harm our business, financial condition, results of operations and prospects. We may decide to alter or abandon our initial programs as new data becomes available and we gain experience in developing base editing therapeutics. We cannot be sure that our technologies will yield satisfactory products that are safe and effective, scalable or profitable in our initial indications or any other indication we pursue. </w:t>
      </w:r>
    </w:p>
    <w:p>
      <w:pPr>
        <w:pStyle w:val="TextBody"/>
        <w:bidi w:val="0"/>
        <w:spacing w:before="120" w:after="283"/>
        <w:jc w:val="left"/>
        <w:rPr>
          <w:rFonts w:ascii="Times New Roman" w:hAnsi="Times New Roman"/>
          <w:sz w:val="20"/>
        </w:rPr>
      </w:pPr>
      <w:r>
        <w:rPr>
          <w:rFonts w:ascii="Times New Roman" w:hAnsi="Times New Roman"/>
          <w:color w:val="000000"/>
          <w:sz w:val="20"/>
        </w:rPr>
        <w:t>Development activities in the field of RNA editing are currently subject to a number of risks related to the ownership and use of certain intellectual property rights that are subject to patent reexamination and inter partes proceedings in the United States and opposition proceedings in Europe. For additional information regarding the risks that may apply to our and our licensors’ intellectual property rights, see “—</w:t>
      </w:r>
      <w:r>
        <w:rPr>
          <w:rFonts w:ascii="Times New Roman" w:hAnsi="Times New Roman"/>
          <w:i/>
          <w:color w:val="000000"/>
          <w:sz w:val="20"/>
        </w:rPr>
        <w:t>Risks Related to Intellectual Property.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very early in our development efforts, and our preclinical studies and clinical trials may not be successful. If we are unable to commercialize our development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very early in our development of development candidates and have focused our efforts to date primarily on platform development, discovery, research, and preclinical development and had only dosed a small number of participants in our now terminated Phase 1/2a REWRITE clinical trial of KRRO-110 for AATD. Our development candidate, KRRO-121, is advancing toward a regulatory filing anticipated in the second half of 2026 and we only recently nominated KRRO-111 as our GalNac-conjugated REO for AATD. All of our other programs are still in the research or preclinical stage of development. Our ability to generate product revenues, which we do not expect will occur for many years, if ever, will depend heavily on the successful development, marketing approval and eventual commercialization of our development candidates, which may never occur. We have not yet generated revenue from product sales or otherwise, and we may never be able to develop or commercialize a marketable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Commencing clinical trials in the United States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first clinical trials may be delayed or we may be unsuccessful obtaining clearance to proceed into clinical development. Even after we receive and incorporate guidance from these regulatory authorities, the FDA or other regulatory authorities could disagree that we have satisfied their requirements to commence any clinical trial or change their position on the acceptability of our trial designs or the clinical endpoints selected, which may require us to complete additional preclinical studies or clinical trials, delay the enrollment of our clinical trials, abandon our clinical development plans or meet stricter approval conditions than we currently expect. There are equivalent processes and risks applicable to clinical trial applications, or CTAs, in other countries, including countries in the European Union, United Kingdom and Australia.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complete the necessary clinical trials, we cannot predict when, or if, we will obtain regulatory approval to commercialize any development candidates in the United States or any other jurisdiction, and any such approval may be for a narrower indication than we seek. In addition, clinical trials conducted in one country may not be accepted by regulatory authorities in other countries, and regulatory approval in one country does not guarantee regulatory approval in any other country. We may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decide to conduct other clinical trials with one or more trial sites that are located outside the United States. Although the FDA may accept data from clinical trials conducted outside the United States, acceptance of these data is subject to conditions imposed by the FDA, and there can be no assurance that the FDA will accept data from any clinical trials conducted outside of the United States. If the FDA does not accept the data from any clinical trial that we conduct outside the United States, it would likely result in the need for additional trials, which would be costly and time-consuming and could delay or permanently halt our development of the applicable development candidates. Similarly, marketing approval by the FDA in the United States, if obtained, does not ensure approval by regulatory authorities in other countries or jurisdictions. Approval processes vary among countries and can involve additional development candidate testing and validation and additional administrative review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Commercialization of any development candidates we may develop will require preclinical and clinical development; regulatory and marketing approval in multiple jurisdictions, including by the FDA, the EMA, HREC and TGA; manufacturing supply, capacity and expertise; a commercial organization; and significant marketing efforts. The success of our development candidates will depend on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successful completion of preclinical studies, including toxicology studies, biodistribution studies and minimally efficacious dose studies in animals, where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INDs or comparable foreign applications that allow commencement of our planned clinical trials or future clinical trials for any development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and completion of clinical trials, including under the FDA’s current GCPs, current GLPs, and any additional regulatory requirements from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results from our future clinical trials that support a finding of safety and effectiveness and an acceptable risk-benefit profile in the intended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arrangements through our own facilities or with third-party manufacturers for clinical supply and, where applicable, commercial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maintenance, defense and enforcement of patent, trademark, trade secret and other intellectual property protection or regulatory exclusivity for any development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launch of any development candidates we may develop,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benefits and use of the development candidates we may develop, including method of administration, if and when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competition with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of a continued acceptable safety, tolerability and efficacy profile of any development candidates we may develop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and maintenance of healthcare coverage and adequate reimbursement by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succeed in one or more of these factors in a timely manner or at all, we could experience significant delays or an inability to successfully commercialize any development candidates we may develop, which would materially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Any development candidates we develop may fail in preclinical or clinical development or be delayed to a point where they do not become commercially viable.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 for the commercial distribution of any of our development candidates, we must conduct, at our own expense, extensive preclinical studies and clinical trials to demonstrate the safety and efficacy in humans of our development candidates. Preclinical and clinical testing are expensive, difficult to design and implement, can take many years to complete, are uncertain as to outcome, and the historical failure rate for drugs in preclinical and clinical development is high. For example, we depend on the availability of NHPs to conduct certain preclinical studies. Over the past several years there has been an increasing global shortage of NHPs available for drug development that has matured into an acute global supply chain issue. The supply of these NHPs is currently constrained due to factors such as their limited worldwide availability, domestic regulatory restrictions and trade relations. If we are unable to obtain access to a sufficient supply of these NHPs in a timely manner or at all, our timelines and our ability to complete preclinical testing and submit IND or CTA applications may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one or more of our development candidates can fail at any stage of testing. We may experience numerous unforeseen events during, or as a result of, preclinical studies and clinical trials that could delay or prevent regulatory approval or our ability to commercialize our development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preclinical studies or clinical trials may produce negative or inconclusive results, including results that may not meet the level of significance or clinical benefit required by the FDA, the EMA, HREC, TGA or other regulators, and we may decide, or regulators may require us, to conduct additional preclinical studies or clinical trials, or we may abandon projects that we had expected to be promising;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filing INDs or comparable foreign applications or delays or failure in obtaining the necessary approvals from regulators or IRBs in order to commence a clinical trial at a prospective trial site, or their suspension or termination of a clinical trial once commenced;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conditions imposed on us by the FDA, the EMA, HREC, TGA or comparable foreign authorities regarding the scope or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divergent views between FDA and other homologue regulatory authorities as to the objectives and/or design of the clinical trials required in support of marketing registration;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problems in obtaining or maintaining IRB approval of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enrolling patients or volunteers into clinical trials, and variability in the number and types of patients eligible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open study sites, or enroll, treat, and monitor patients due to local restrictions, including as a result of any pandemic or endemic or other geopolitical events that can disrupt supply chains, such as announced tariffs, hostilities in Iran, or other evolving economic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 drop-out rates for patients in clinical trials and substantial missing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results from our clinical trials or the clinical trials of others for development candidates similar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future clinical trials to confirm positive results, if any, from earlier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consistently manufacture, inadequate supply, or unacceptable quality of development candidate materials or other materials necessary for the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greater than anticipated clinical trial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serious and unexpected side effects that may or may not be related to the development candidate being tested that are experienced by participants in our clinical trials or by individuals using drugs similar to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poor or disappointing effectiveness of our development candidates during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outcome of FDA, EMA, HREC, TGA or other regulatory agency inspection and review of a manufacturing or clinical trial site or other records relating to the clinical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contractors, investigators, or collaboration partners to comply with regulatory requirements or otherwise meet their contractual obligations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governmental or regulatory delays and changes in regulatory requirements, policy and guidelines, including the imposition of additional regulatory oversight around manufacturing, preclinical, or clinical testing generally or with respect to our development candidates class, in particular;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varying interpretations of data by the FDA and similar foreign regulatory agencies.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successfully conduct clinical development, we will not be able to market and sell products derived from our development candidates or generate product revenues. Even if we do successfully complete clinical trials, those results are not necessarily predictive of results of additional trials that may be needed before we can submit an application for regulatory approval to the FDA or foreign regulatory agencies. If the development of any of our development candidates fails or is delayed to a point where such development candidate is no longer commercially viable, our business may be materially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conduct clinical trials successfully due to various process-related factors that could negatively impact our business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initiation and completion of any of our clinical trials within timeframes consistent with our business plans, is dependent on various factors, which include, but are not limited to,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retain and recruit employees, contractors or consultants with the required level of knowledge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retain and recruit, in a timely manner, a sufficient number of patients necessary to conduct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 and maintain a sufficient amount of clinical material, internally or through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ensure adherence to trial designs and protocols agreed upon and approved by regulatory authorities and applicable regulatory and legal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apply the appropriate pharmacovigilance measures in case of adverse effects emerging during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execute clinical trial designs and protocols approved by regulatory authorities without deficiencies;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and effectively contract with (under reasonable terms), manage and work with investigators, institutions, hospitals and the CROs involved in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negotiate contracts and other related documents with clinical trial parties and IRBs, CRO agreements and site agreements, which can be subject to extensive negotiations that could cause significant delays in the clinical trial process, with terms possibly varying significantly among different trial sites and CROs and possibly subjecting us to various risks;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clinical trials in a cost-effective manner, including management of foreign currency risk in clinical trials conducted in foreign jurisdictions and cost increases due to unforeseen or unexpected complications such as enrollment delays, or needing to outsource certain functions during the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manage the clinical trial process successfully, our business plans could be delayed or be rendered unfeasible for us to execute within our planned or required time frames, or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cannot successfully manufacture our development candidates for our research and development and preclinical activities, or manufacture sufficient amounts of our development candidates to meet our clinical requirements and timelines,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develop our development candidates, apply for regulatory approvals and commercialize our development candidates, we will need to develop, contract for, or otherwise arrange for the necessary manufacturing and supply capabilities. In addition to the oligonucleotides that we manufacture internally, we may utilize CMOs to manufacture the oligonucleotides required for our preclinical studies and clinical trials. There are a limited number of manufacturers that supply oligonucleotides. There are risks inherent in pharmaceutical manufacturing that could affect our ability or the ability of our CMOs to meet delivery time requirements or provide adequate amounts of material to meet our clinical trial demands on our projected timelines. Included in these risks are potential synthesis and purification failures and/or contamination during the manufacturing process, as well as other issues with our facility or the CMOs’ facilities and ability to comply with the applicable manufacturing requirements and quality standards, which could result in unusable product and cause delays in our manufacturing timelines and ultimately delay our clinical trials, as well as result in additional expense. To manufacture our oligonucleotides, we rely on third parties to supply the required raw materials. We will likely need to secure alternative suppliers for these raw materials, and such alternative suppliers are limited and may not be readily available, or we may be unable to enter into agreements with them on reasonable terms and in a timely manner. For example, we source certain materials used in the manufacture of our products from China and other countries outside of the United States; supply chain disruptions (including as a result of announced tariffs, other geopolitical events or global health pandemics) could impact our business. Additionally, our cost of goods development is at an early stage. The actual cost to manufacture and process our development candidates could be greater than expected and could materially and adversely affect the commercial viability of our development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The process of manufacturing oligonucleotides is complex and we may encounter difficulties in production, particularly with respect to process development or scaling-up of our manufacturing capabilities.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of manufacturing oligonucleotides is complex, highly-regulated and subject to multiple risks. The complex processes associated with the manufacture of our development candidates expose us to various manufacturing challenges and risks, which may include delays in manufacturing adequate supply of our development candidates, limits on our ability to increase manufacturing capacity, and the potential for product failure and product variation in quality that may interfere with preclinical studies and clinical trials, along with additional costs. We may also make changes to our manufacturing process or the delivery system we use at various points during development, and even after commercialization, for various reasons, such as optimizing costs, achieving scale,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decreasing processing time, increasing manufacturing success rate, or other reasons. Such changes carry the risk that they will not achieve their intended objectives, and any of these changes could cause our development candidates to perform differently and affect the results of current or future clinical trials, or the performance of the product, once commercialized. In some circumstances, changes in the manufacturing or delivery system may require us to perform ex vivo comparability studies, and/or conduct animal studies, and to collect additional data from patients prior to undertaking more advanced clinical trials. For instance, changes in our manufacturing process during the course of clinical development may require us to show the comparability of the product used in earlier clinical trials or at earlier portions of a trial to the product used in later clinical trials or later portions of the trial. We may also make further changes to our manufacturing or delivery system before or after commercialization, and such changes may require us to show the comparability of the resulting product to the product produced via earlier manufacturing processes and supplied or delivery system used in clinical studies. We may be required to collect additional preclinical and/or clinical data from any modified process prior to obtaining marketing approval for the development candidate produced with such modified process. If preclinical and/or clinical data are not ultimately comparable to those seen in the earlier trials, we may be required to make further changes to our process and/or undertake additional clinical testing, either of which could significantly delay the clinical development or commercialization of the associated development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continue to build on our experience in manufacturing oligonucleotides, we have limited experience as a company manufacturing development candidates for commercial supply. We may never be successful in manufacturing development candidates in sufficient quantities or with sufficient quality for commercial use. Our manufacturing capabilities could be affected by cost-overruns, unexpected delays, equipment failures, labor shortages, operator error, natural disasters, unavailability of qualified personnel, difficulties with logistics and shipping, problems regarding yields or stability of product, contamination or other quality control issues, power failures, and numerous other factors that could prevent us from realizing the intended benefits of our manufacturing strategy and have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compliance with cGMP requirements and other quality issues may arise during any internal efforts to scale-up manufacturing, and with our current or any future CMOs. If contaminants are discovered in our supply of our development candidates or in the manufacturing facilities of our CMOs, such manufacturing facilities may need to be closed for an extended period of time to investigate and remedy the contamination. We cannot assure you that any stability failures or other issues relating to the manufacture of our development candidates will not occur in the future. Additionally, our CMOs may experience manufacturing difficulties due to resource constraints or as a result of labor disputes or unstable political environments. If our CMOs were to encounter any of these difficulties, our ability to provide our development candidate to patients in clinical trials, or to provide product for treatment of patients once approved, would be jeopardized.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development candidate or indication and fail to capitalize on development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resources, we intend to focus on developing development candidates for specific indications that we identify as most likely to succeed, in terms of both regulatory approval and commercialization. As a result, we may forego or delay pursuit of opportunities with other development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development candidates for specific indications may not yield any commercially viable products. If we do not accurately evaluate the commercial potential or target market for a particular development candidate, we may relinquish valuable rights to that development candidate through collaboration, licensing or other royalty arrangements in cases in which we would have been more advantageous for us to retain sole development and commercialization rights to such development candidate.</w:t>
      </w:r>
    </w:p>
    <w:p>
      <w:pPr>
        <w:pStyle w:val="TextBody"/>
        <w:bidi w:val="0"/>
        <w:spacing w:before="360" w:after="283"/>
        <w:jc w:val="left"/>
        <w:rPr>
          <w:rFonts w:ascii="Times New Roman" w:hAnsi="Times New Roman"/>
          <w:sz w:val="20"/>
        </w:rPr>
      </w:pPr>
      <w:r>
        <w:rPr>
          <w:rFonts w:ascii="Times New Roman" w:hAnsi="Times New Roman"/>
          <w:b/>
          <w:i/>
          <w:color w:val="000000"/>
          <w:sz w:val="20"/>
        </w:rPr>
        <w:t>Our development candidates may cause undesirable and unforeseen side effects or be perceived by the public as unsafe, which could delay or prevent their advancement into clinical trials or regulatory approval, limit the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dosed very few participants with our development candidates in human clinical trials. Moreover, there have been only a limited number of clinical trials involving the use of genetic medicine technologies and RNA editing technology similar to our technology. It is impossible to predict when, or if, any development candidates we may develop will prove safe in humans. In the genetic medicine field, there have been several significant adverse events from gene therapy treatments in the past, including reported cases of leukemia and death. There can be no assurance that RNA editing technologies will not cause undesirable side effects, such as lymphoma, leukemia, or other cancers, or other aberrantly functioning cells.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such adverse events occur, our future clinical trials could be suspended or terminated. If we are unable to demonstrate that any adverse events were caused by the administration process or related procedures, the FDA, the EMA, HREC, TGA or other regulatory authorities could order us to cease further development of, or deny approval of, any development candidates for any or all targeted indications. Even if we can demonstrate that all future serious adverse events are not product-related, such occurrences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affect patient recruitment or the ability of enrolled patients to complete any future trial. Moreover, if we elect, or are required, to not initiate, delay, suspend or terminate any future clinical trial of any of our development candidates, the commercial prospects of such development candidates may be harmed and our ability to generate product revenues from any of these development candidates may be delayed or eliminated. Any of these occurrences may harm our ability to develop other development candidates, and may adversely affect our business, financial condition, results of operations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development candidates receives marketing approval, the FDA could require us to adopt a REMS to ensure that the benefits of the product outweigh its risks, which may include, for example, a Medication Guide outlining the risks of the product for distribution to patients and a communication plan to health care practitioners, or other elements to assure safe use of the product. Furthermore, if we or others later identify undesirable side effects caused by any of our development candidates, several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suspend or withdraw approvals of such development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a development candidate is administered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occurrences may harm our business, financial condition, results of operations and prospects significantly.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successfully identify patients who are likely to benefit from therapy with any development candidates we develop, or experience significant delays in doing so, we may not realize the full commercial potential of any products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may depend, in part, on our ability to identify patients who are likely to benefit from therapy with any products we may develop, which may require those potential patients to have their DNA analyzed for the presence or absence of a particular sequence. If we, or any third parties that we engage to assist us, are unable to successfully identify such patients, or experience delays in doing so, then: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any development candidates may be adversely affected if we are unable to appropriately select patients for enrollment in our clinical trials;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realize the full commercial potential of any development candidates we develop that receive marketing approval if, among other reasons, we are unable to appropriately select patients who are likely to benefit from therapy with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these factors, we may be unable to successfully develop and realize the commercial potential of any development candidates we may identify and develop, and our business, financial condition, results of operations and prospects would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establish sales and marketing capabilities or enter into agreements with third parties to market and sell any development candidates, we may be unable to generate any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do not have an organization for the sales, marketing and distribution of any development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development candidates, we may enter into strategic alliances with third parties to develop and commercialize any development candidates, including in markets outside of the United States or for other large markets that are beyond our resources. This will reduce the revenue generated from the sales of these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strategic alliance partners may not dedicate sufficient resources to the commercialization of our development candidates or may otherwise fail in their commercialization due to factors beyond our control. If we are unable to establish effective alliances to enable the sale of our development candidates to healthcare professionals and in geographical regions, including the United States, that will not be covered by our own marketing and sales force, or if our potential future strategic alliance partners do not successfully commercialize the development candidates, our ability to generate revenues from product sales will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party to perform marketing and sales functions, we may be unable to compete successfully against these more established companies.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regulatory approval to market our development candidates, the market may not be receptive to our development candidates upon their commercial introduction, which will prevent us from becoming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REOs. As a result, it may be more difficult for us to convince the medical community and third-party payors to accept and use our product, or to provide favorable reimbursement.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that we believe will materially affect market acceptance of our development candidates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our receipt of any regulatory approvals, the terms of any approvals and the countries in which approvals are obtained;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consistently manufacture our products within acceptable quality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safety and efficacy of our development candidates, as demonstrated in clinical trials and as compared with alternative treatments,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incidence, seriousness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relative convenience and ease of administration of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patients to accept potentially new routes of administration and their risk tolerance as it relates to potentially serious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physician education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government and third-party payor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of our products, particularly as compared to alternative treatments;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alternative effective treatments for the diseases that development candidates we develop are intended to treat and the relative risks, benefits and costs of those treatments.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estimates regarding the potential market size may be materially different from what we currently expect by the time we commence commercialization, which could result in significant changes in our business plan and may significantly harm our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pharmaceutical industry is intensely competitive. If we are unable to compete effectively with existing drugs, new treatment methods and new technologies, we may be unable to commercialize successfully any drugs that we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industry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including UCD, HE, and AATD. Many of our competitors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much greater financial, technical and human resources than we have at every stage of the discovery, development, manufacture and commercialization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extensive experience in designing and conducting preclinical studies and clinical trials, obtaining regulatory approvals, and manufacturing, marketing and selling pharmaceutical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candidates that are based on previously tested or accepted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that have been approved or are in late stages of development;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collaborative arrangements in our target markets with leading companies and research institutions.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face intense competition from drugs that have already been approved and accepted by the medical community for the treatment of the conditions for which we may develop products. We also expect to face competition from new drugs that enter the market. We believe a significant number of drugs are currently under development, and may become commercially available in the future, for the treatment of conditions that our current or future development candidates are or may be designed to treat. These drugs may be more effective, safer, less expensive, or marketed and sold more effectively, than any products we develop. Following our transition to GalNAc-conjugated delivery for our AATD program, we may be further behind in our development efforts than our competitors, which could negatively impact our ability to develop a commercially viable product for such indication.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or commercialize products with significant advantages over any products we are able to develop and commercialize based on many different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safety and effectiveness of our products relative to alternative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ease with which our products can be administered and the extent to which patients accept relatively new routes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scope of regulatory approvals for these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cost of manufacturing, marketing and sales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extensive coverage and higher levels of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development candidates. Such competitors could also recruit our employees, which could negatively impact our level of expertise and our ability to execute on our business plan. </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legislative or regulatory reform measures may have a negative impact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the United States and some foreign jurisdictions, there have been, and continue to be, several legislative and regulatory changes and proposed changes regarding the healthcare system that could prevent or delay marketing approval of development candidates, restrict or regulate post-approval activities, and affect our ability to profitably sell any development candidates for which we obtain marketing approval. Payors, whether domestic or foreign, or governmental or private, are developing increasingly sophisticated methods of controlling healthcare costs. Recent and proposed healthcare reform measures in the United States have focused in particular on prescription drug pricing, reimbursement, and manufacturer financial obligations under government healthcare programs. These measures include statutory changes, executive actions, and proposed regulations that may affect pricing, coverage, reimbursement methodologies, and market access for pharmaceutical and biological products. For a more complete discussion of healthcare reform and regulatory developments that may affect our business, see Item 1, “</w:t>
      </w:r>
      <w:r>
        <w:rPr>
          <w:rFonts w:ascii="Times New Roman" w:hAnsi="Times New Roman"/>
          <w:i/>
          <w:color w:val="000000"/>
          <w:sz w:val="20"/>
        </w:rPr>
        <w:t xml:space="preserve">Business—Government Regulation—Healthcare Reform Measures” </w:t>
      </w:r>
      <w:r>
        <w:rPr>
          <w:rFonts w:ascii="Times New Roman" w:hAnsi="Times New Roman"/>
          <w:color w:val="000000"/>
          <w:sz w:val="20"/>
        </w:rPr>
        <w:t xml:space="preserve">in the 2025 10-K.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increasing legislative, regulatory, and enforcement interest in the United States with respect to prescription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payers of healthcare services to contain or reduce costs of healthcare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any of our development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set a price that we believe is fair for any of our development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revenues and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additional healthcare reform measures will be adopted in the future, any of which could result in reduced demand for our development candidates or additional pricing pressures. These cost containment measures (be it federal or state regulations, or regional bidding processes, or most-favored-nation pricing practices, or otherwise) could reduce the ultimate demand for any approved development candidates and or put pressure on our pricing, which could negatively affect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 2024 U.S. Supreme Court decision may increase regulatory uncertainty and litigation risk and could delay or complicate FDA regulatory review, policymaking, or implementation of regulatory initiatives. We cannot predict the full impact of this decision, future judicial challenges brought against the FDA, or the nature or extent of government regulation that may arise from future legislation or administrative action. Any such challenges, if successful, could have an impact on our business, and any such impact could be material. In addition to potential changes to regulations and agency guidance as a result of legal challenges,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decisions may result in increased regulatory uncertainty and delays in and other impacts to the agency rulemaking process, any of which could adversely impact our business and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opportunities for any development candidates we may develop are smaller than we believe they are, our potential revenues may be adversely affected, and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projections of both the number of people who have these diseases, as well as the subset of people with these diseases who have the potential to benefit from treatment with development candidates we may develop, are based on estimates. These estimates may prove to be incorrect and new studies may change the estimated incidence or prevalence of these diseases. Additionally, our estimates regarding the potential market size may be materially different from what we currently expect by the time we commence commercialization. The number of patients in the United States, Europe, and elsewhere may turn out to be lower than expected, and patients may not be amenable to treatment with our development candidates, or may become increasingly difficult to identify or gain access to, all of which would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While we intend to seek designations for our development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development candidates are granted such designations, we may not be able to realize the intended benefits of such designations.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FDA and comparable foreign regulatory authorities offer certain designations for development candidates that are designed to encourage the research and development of development candidates that are intended to address conditions with significant unmet medical need. These designations include fast track, or breakthrough therapy, among others, and may confer benefits such as additional interaction with regulatory authorities, a potentially accelerated regulatory pathway and priority review. However, there can be no assurance that we will successfully obtain such designations for any development candidates. See Item 1 “</w:t>
      </w:r>
      <w:r>
        <w:rPr>
          <w:rFonts w:ascii="Times New Roman" w:hAnsi="Times New Roman"/>
          <w:i/>
          <w:color w:val="000000"/>
          <w:sz w:val="20"/>
        </w:rPr>
        <w:t>Business—Government Regulation—Expedited Development and Review Programs for Drugs</w:t>
      </w:r>
      <w:r>
        <w:rPr>
          <w:rFonts w:ascii="Times New Roman" w:hAnsi="Times New Roman"/>
          <w:color w:val="000000"/>
          <w:sz w:val="20"/>
        </w:rPr>
        <w:t xml:space="preserve">” in the 2025 10-K for more information regarding these designations. While such designations could expedite the development or approval process, they generally do not change the standards for approval. Even if we obtain such designations for one or more of our development candidates, there can be no assurance that we will realize their intended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future, we may also seek approval of development candidates under the FDA’s accelerated approval pathway or request priority review. There can be no assurance that FDA would allow any of the development candidates we may develop to proceed on an accelerated approval pathway or grant priority review, and even if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 </w:t>
      </w:r>
    </w:p>
    <w:p>
      <w:pPr>
        <w:pStyle w:val="TextBody"/>
        <w:bidi w:val="0"/>
        <w:spacing w:before="120" w:after="283"/>
        <w:jc w:val="left"/>
        <w:rPr>
          <w:rFonts w:ascii="Times New Roman" w:hAnsi="Times New Roman"/>
          <w:sz w:val="20"/>
        </w:rPr>
      </w:pPr>
      <w:r>
        <w:rPr>
          <w:rFonts w:ascii="Times New Roman" w:hAnsi="Times New Roman"/>
          <w:color w:val="000000"/>
          <w:sz w:val="20"/>
        </w:rPr>
        <w:t>In addition, in the European Union, we may seek to participate in The PRIority MEdicines, or PRIME, scheme for our development candidates. The PRIME scheme is intended to encourage drug development in areas of unmet medical need and provides accelerated assessment of products representing substantial innovation, where the marketing authorization application will be made through the centralized procedure in the European Union. There is no guarantee, however, that our development candidates would be deemed eligible for the PRIME scheme and even if we do participate in the PRIME scheme, where during the course of development a medicine no longer meets the eligibility criteria, support under the PRIME scheme may be withdrawn. PRIME eligibility does not change the standards for product approval, and there is no assurance that any such designation or eligibility will result in expedited review or approval. For more information regarding PRIME and the EU regulatory framework, see Item 1 “</w:t>
      </w:r>
      <w:r>
        <w:rPr>
          <w:rFonts w:ascii="Times New Roman" w:hAnsi="Times New Roman"/>
          <w:i/>
          <w:color w:val="000000"/>
          <w:sz w:val="20"/>
        </w:rPr>
        <w:t>Business—Government Regulation—Regulation Outside of the United States</w:t>
      </w:r>
      <w:r>
        <w:rPr>
          <w:rFonts w:ascii="Times New Roman" w:hAnsi="Times New Roman"/>
          <w:color w:val="000000"/>
          <w:sz w:val="20"/>
        </w:rPr>
        <w:t xml:space="preserve">” in the 2025 10-K. </w:t>
      </w:r>
    </w:p>
    <w:p>
      <w:pPr>
        <w:pStyle w:val="TextBody"/>
        <w:bidi w:val="0"/>
        <w:spacing w:before="360" w:after="283"/>
        <w:jc w:val="left"/>
        <w:rPr>
          <w:rFonts w:ascii="Times New Roman" w:hAnsi="Times New Roman"/>
          <w:sz w:val="20"/>
        </w:rPr>
      </w:pPr>
      <w:r>
        <w:rPr>
          <w:rFonts w:ascii="Times New Roman" w:hAnsi="Times New Roman"/>
          <w:b/>
          <w:i/>
          <w:color w:val="000000"/>
          <w:sz w:val="20"/>
        </w:rPr>
        <w:t>Risks Related to Regulatory, Legal, and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Because we are developing REOs, which are considered a relatively new class of drugs, there is increased risk that the outcome of our clinical trials will not be sufficient to obtain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comparable ex-U.S. regulatory agencies have relatively limited experience with oligonucleotides, which may increase the complexity, uncertainty and length of the regulatory review process for any development candidates. Even though the FDA issued two draft guidance documents in December 2021 relating to IND submissions for individualized antisense oligonucleotide drugs for severely debilitating or life-threatening genetic diseases, one with clinical focus, the other with chemistry manufacturing and controls focus, and in June 2024 final guidance on clinical pharmacology considerations for the development of oligonucleotide therapeutics, the FDA and its foreign counterparts have not yet established any definitive policies, practices or guidelines in relation to overall development considerations for REO therapies. The general lack of policies, practices or guidelines specific to oligonucleotides may hinder or slow review by the FDA or other foreign regulatory agencies of any regulatory filings that we may submit. Moreover, the FDA or other foreign regulatory agencies may respond to these submissions by defining requirements we may not have anticipated. Addressing such requirements could lead to significant delays in the development of our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candidates. In addition, because there may be approved treatments for some of the diseases for which we may seek approval, in order to receive regulatory approval, we may need to demonstrate through clinical trials that the development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As a result of the foregoing factors, we may never receive regulatory approval to market and commercialize any development candidate. Even if we obtain regulatory approval, the approval may be for disease indications or patient populations that are not as broad as we intended or desired or may require labeling that includes significant use or distribution restrictions or safety warnings. We may be required to perform additional or unanticipated clinical trials to obtain regulatory approval or be subject to additional post-marketing studies or other requirements to maintain such approval. As a result, we may never succeed in developing a marketable product, we may not become profitable and the value of our common stock could decline.</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we are developing development candidates in the field of genetic medicines in which there is little clinical experience, there is increased risk that the FDA, the EMA, HREC, TGA or other regulatory authorities may not consider the endpoints of our clinical trials to provide clinically meaningful results and that these results may be difficult to analyze.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proceed into clinical development of any development candidates we identify, we will need to submit INDs or comparable foreign applications to regulatory authorities and obtain regulatory clearance to commence clinical development. Because the development candidates we identify are based on novel gene-editing technology, we may be unsuccessful in obtaining clearance from regulatory authorities to proceed into clinical development. In order to commence clinical development, we will need to identify success criteria and endpoints such that the FDA, the EMA or other regulatory authorities will be able to determine the clinical efficacy and safety profile of any development candidates we may develop. As we are initially seeking to identify and develop development candidates to treat diseases in which there is little clinical experience using new technologies, and while we may have opportunities to discuss our clinical development plans with regulatory authorities prior to commencing clinical development, there is heightened risk that the FDA, the EMA, HREC, TGA or other regulatory authorities may not consider the clinical trial endpoints that we propose to provide clinically meaningful results (reflecting a tangible benefit to patients). In addition, the resulting clinical data and results may be difficult to analyze.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FDA does find our success criteria to be sufficiently validated and clinically meaningful, we may not achieve the pre-specified endpoints to a degree of statistical significance. Furthermore,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may make similar comments with respect to these endpoints and data. Any development candidates we may develop will be based on a novel technology that makes it difficult to predict the time and cost of development and of subsequently obtaining regulatory approval. No RNA editing therapeutic product has been approved in the United States or in Europe. Within the broader genome product field, only a limited number of gene therapy products have received marketing authorization or marketing approval from the European Commission or the FDA. Some of these products have taken years to register and have had to deal with significant issues in their post-marketing experience.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complete the necessary preclinical studies and clinical trials, we cannot predict when, or if, we will obtain regulatory approval to commercialize a development candidate and the approval may be for a narrower indication than we seek.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commercialization, any of our development candidates must be approved by the FDA pursuant to a new drug application, or NDA, in the United States and pursuant to similar marketing applications by the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development candidates involved. Failure to obtain marketing approval for a development candidate will prevent us from commercializing the development candidate. We have not received approval to market any of our development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Securing marketing approval requires the submission of extensive preclinical and clinical data and supporting information to regulatory authorities for each therapeutic indication to establish the development candidate’s safety and efficacy. Securing marketing approval also requires the submission of information about the product manufacturing process to, and inspection of manufacturing facilities by, the regulatory authorities. Our development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studies. In addition, varying interpretations of the data obtained from preclinical and clinical testing could delay, limit or prevent marketing approval of a development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any of our development candidates may be delayed or refused for many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our development candidates are safe and effective for any of their proposed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our development candidates’ clinical and other benefits outweigh their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programs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development candidates may not be sufficient to support the submission of an NDA or other comparable submission in foreign jurisdictions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facilities of third-party manufacturers with which we contract or procure certain service or raw materials, may not be adequate to support approval of our development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our development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also may approve a development candidate for more limited indications than requested or they may impose significant limitations in the form of narrow indications, warnings or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development candidates. Any of the foregoing scenarios could materially harm the commercial prospects for our development candidates and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unable to obtain regulatory approval in the United States or foreign jurisdictions and, as a result, be unable to commercialize our development candidates and our ability to generate revenue will be materially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candidates are subject to extensive governmental regulations relating to, among other things, research, testing, development, manufacturing, quality, safety, efficacy, approval, recordkeeping, reporting, labeling, storage, packaging, advertising and promotion, pricing, marketing and distribution of drugs. Rigorous preclinical studies and clinical trials, and an extensive regulatory approval process are required to be successfully completed in the United States and in many foreign jurisdictions before a new drug can be marketed. Satisfaction of these and other regulatory requirements is costly, time consuming, uncertain, and subject to a continuously evolving regulatory environment and unanticipated delays. It is possible that none of the development candidates we may develop will obtain the regulatory approvals necessary for us or our collaborators to begin selling them.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FDA and other approvals is unpredictable but typically takes many years following the commencement of clinical trials, depending upon the type, complexity and novelty of the development candidate. The standards that the FDA and its foreign counterparts use when regulating companies such as ours are not always applied predictably or uniformly and can change. Any analysis we perform of data from chemistry, manufacturing and controls,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 or failure in obtaining required approvals could adversely affect our ability to generate revenues from the particular development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a condition of approval, which may impose further requirements or restrictions on the distribution or safe use of an approved drug, such as limiting prescribing rights to certain physicians or medical centers that have undergone specialized training, limiting treatment to patients as specially defined by the indication statement or who meet certain safe-use criteria, and requiring treated patients to enroll in a registry, among other requirements. These limitations and restrictions may limit the size of the market for the product and affect reimbursement by third-party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subject to numerous foreign regulatory requirements governing, among other things, the conduct of clinical trials, manufacturing and marketing authorization, pricing and payment. The foreign regulatory approval process varies among countries and may include all of the risks associated with FDA approval described above, as well as risks attributable to the satisfaction of local regulations in foreign jurisdictions. Approval by the FDA does not ensure approval by comparable regulatory authorities outside of the United States and vice versa. </w:t>
      </w:r>
    </w:p>
    <w:p>
      <w:pPr>
        <w:pStyle w:val="TextBody"/>
        <w:bidi w:val="0"/>
        <w:spacing w:before="360" w:after="283"/>
        <w:jc w:val="left"/>
        <w:rPr>
          <w:rFonts w:ascii="Times New Roman" w:hAnsi="Times New Roman"/>
          <w:sz w:val="20"/>
        </w:rPr>
      </w:pPr>
      <w:r>
        <w:rPr>
          <w:rFonts w:ascii="Times New Roman" w:hAnsi="Times New Roman"/>
          <w:b/>
          <w:i/>
          <w:color w:val="000000"/>
          <w:sz w:val="20"/>
        </w:rPr>
        <w:t>Any development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development candidates, when and if any of them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cGMPs, quality control, quality assurance and corresponding maintenance of records and documents, including periodic inspections by the FDA and other regulatory authorities and requirements regarding the distribution of samples to providers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also impose requirements for costly post-marketing studies or clinical trials and surveillance to monitor the safety or efficacy of any approved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If we promote our development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later discovery of previously unknown adverse events or other problems with our development candidates, manufacturers or manufacturing processes, or failure to comply with regulatory requirements, may yield various results,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development candidates,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any approved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may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development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regulatory approvals, our marketed drugs will be subject to ongoing regulatory oversight. If we fail to comply with continuing U.S. and foreign requirements, our approvals, if obtained, could be limited or withdrawn, we could be subject to other penalties, and our business would be seriously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any initial regulatory approval of any drugs we may develop, we will also be subject to continuing regulatory oversight, including the review of adverse drug experiences and safety data that are reported after our drug products are made commercially available. This would include results from any post-marketing studies or surveillance to monitor the safety and efficacy of the drug product required as a condition of approval or agreed to by us. Any regulatory approvals that we receive for our development candidates may also be subject to limitations on the approved uses for which the product may be marketed. Other ongoing regulatory requirements include, among other things, submissions of safety and other post-marketing information and reports, registration and listing, as well as continued maintenance of our marketing application, compliance with cGMP requirements and quality oversight, compliance with post-marketing commitments, applicable product tracking and tracing requirements and compliance with GCP for any clinical trials that we conduct post-approval. Failure to comply with these requirements could result in warning or untitled letters, criminal or civil penalties, recalls, or product withdrawals. In addition, we intend to seek approval to market our development candidates in jurisdictions outside of the United States, and therefore will be subject to, and must comply with, regulatory requirements in those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significant post-market authority, including, for example, the authority to require labeling changes based on new safety information and to require post-market studies or clinical trials for a variety of reasons. The FDA also has the authority to require a REMS plan after approval, which may impose further requirements or restrictions on the distribution or use of an approved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our CMOs, and the manufacturing facilities we use to make our development candidates will also be subject to ongoing assessment of product quality, compliance with cGMP, and periodic inspection by the FDA and potentially other regulatory agencies. We or our CMOs may not be able to comply with applicable cGMP regulations or similar regulatory requirements outside of the United States. Our failure, or the failure of our CMOs,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development candidates or drugs, operating restrictions and criminal prosecutions, any of which could significantly and adversely affect supplies of our products. We may not have the ability or capacity to manufacture material at a broader commercial scale in the future. We and our CMOs currently manufacture a limited supply of clinical trial materials. Reliance on CMOs entails risks to which we would not be subject if we manufactured all of the material ourselves, including reliance on the CMO for regulatory compliance. Our product promotion and advertising will also be subject to regulatory requirements and continuing regulatory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collaborators, manufacturers or service providers fail to comply with applicable continuing regulatory requirements in the United States or foreign jurisdictions in which we may seek to market our products, we or they may be subject to, among other things, fines, warning letters, holds on clinical trials, refusal by the FDA or comparable foreign regulatory authorities to approve pending applications or supplements to approved applications, suspension or withdrawal of regulatory approval, product recalls and seizures, refusal to permit the import or export of products, operating restrictions, injunction, consent decree, civil penalties and criminal prosecution.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insurance coverage and reimbursement status of newly-approved products is uncertain. Failure to obtain or maintain adequate coverage and reimbursement for our development candidates could limit our product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development candidates represent new approaches to the treatment of genetic-based diseases, we cannot be sure that coverage and reimbursement will be available for, or accurately estimate the potential revenue from, our development candidates or assure that coverage and reimbursement will be available for any product that we may develop. The regulations that govern marketing approvals, pricing and reimbursement for new drugs vary widely from country to country. Some countries require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0"/>
        </w:rPr>
        <w:t>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could delay our commercial launch of the product and negatively impact any potential revenues we may be able to generate from the sale of the product in that country and potentially in other countries due to reference pricing. For more information, see Item 1 “</w:t>
      </w:r>
      <w:r>
        <w:rPr>
          <w:rFonts w:ascii="Times New Roman" w:hAnsi="Times New Roman"/>
          <w:i/>
          <w:color w:val="000000"/>
          <w:sz w:val="20"/>
        </w:rPr>
        <w:t>Business – Government Regulation – Pharmaceutical Coverage and Reimbursement”</w:t>
      </w:r>
      <w:r>
        <w:rPr>
          <w:rFonts w:ascii="Times New Roman" w:hAnsi="Times New Roman"/>
          <w:color w:val="000000"/>
          <w:sz w:val="20"/>
        </w:rPr>
        <w:t xml:space="preserve"> in the 2025 10-K.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any products successfully will also depend in part on the extent to which coverage and adequate reimbursement/payment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At this time, we are unable to determine their cost effectiveness or the likely level or method of reimbursement for our development candidates. Increasingly, third-party payors, such as government and private insurance plans, are requiring that drug companies provide them with predetermined discounts from list prices, and are seeking to reduce the prices charged or the amounts paid for pharmaceutical products. If the price we are able to charge for any products we develop, or the payments provided for such products, is inadequate in light of our development and other costs, our return on investment could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coverage for newly-approved drugs, and coverage may be more limited than the indications for which the drug is approved by the FDA or comparable foreign regulatory authorities. Patients who are prescribed medications for the treatment of their conditions, and their prescribing physicians, generally rely on third-party payors to pay all or part of the costs associated with their prescription drugs. Patients are unlikely to use our products unless coverage is provided and payment is adequate to cover all or a significant portion of the cost of our products. Therefore, coverage and adequate payment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drug will be paid for in all cases or at a rate that covers our costs, including research, development, manufacture, sale and distribution. Interim payments for new drugs, if applicable, may also not be sufficient to cover our costs and may not be made permanent. Reimbursement may be based on payments allowed for lower-cost drugs that are already reimbursed, may be incorporated into existing 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new drugs that we develop and for which we obtain regulatory approval could adversely affect our operating results, our ability to raise capital needed to commercialize products, and our overall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efforts of governments and third-party payors to contain or reduce the cost of healthcare and legislative and regulatory proposals to broaden the availability of healthcare will continue to affect the business and financial condition of pharmaceutical and biopharmaceutical companies.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obtain orphan drug exclusivity for one or more of our development candidates, and even if we do, that exclusivity may not prevent the FDA or the EMA from approving other competing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Orphan Drug Act, the FDA may designate a development candidate as an orphan drug if it is a drug intended to treat a rare disease or condition. A similar regulatory scheme governs approval of orphan development candidates by the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development candidate for the same orphan therapeutic indication for that time period. The applicable period is seven years in the United States and ten years in the European Union. The exclusivity period in the European Union can be reduced to six years if a product no longer meets the criteria for orphan designation, in particular if the product is sufficiently profitable so that market exclusivity is no longer justified.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standards for granting orphan drug exclusivity in the gene therapy context are unclear and evolving. In order for the FDA to grant orphan drug exclusivity to one of our development candidates, the agency must find that the development candidate is indicated for the treatment of a condition or disease that affects fewer than 200,000 individuals in the United States or that affects more than 200,000 individuals in the United States and for which there is no reasonable expectation that the cost of developing and making the development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development candidate, that exclusivity may not effectively protect the development candidate from competition because different development candidates can be approved for the same approved use or condition. In addition, even after an orphan drug is approved, the FDA can subsequently approve the same development candidates for the same approved use or condition if the FDA concludes that the later development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comply with laws regulating the protection of the environment and health and human safety,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development and manufacturing processes involve the use of hazardous materials.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Our procedures for storing, handling and disposing of these materials are reviewed against the relevant guidelines and laws of the jurisdictions in which our facilities are located on a regular basis. Although we believe that our safety procedures for handling and disposing of these materials sufficiently mitigate the risk of accidental contamination or injury from these materials, the risk cannot be completely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become applicable in the future. We may incur substantial costs to comply with, and substantial fines or penalties if we violate any of, these laws or regulations.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or our collaborators, manufacturers, service providers or other third parties fail to comply with applicable healthcare laws and regulations, we could be subject to enforcement actions, which could affect our ability to develop, market and sell our products and may harm our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and may in the future be, subject to extensive federal, state, local, and comparable foreign healthcare laws and regulations, including those relating to fraud and abuse, anti-kickback restrictions, false claims, transparency and reporting, patient privacy and data protection, and anti-bribery and related requirements, which may constrain the business or financial arrangements and relationships through which we conduct our operations, including how we research, develop, market, sell, and distribute our products for which we obtain marketing approval. The scope and enforcement of these laws is uncertain, subject to rapid change, and dependent on evolving government and industry interpretations, and authorities have increased scrutiny of interactions between healthcare companies and healthcare providers and third-party payors. If our operations are found to be in violation of applicable requirements, we may be subject to penalties and other sanctions, which may include civil or criminal penalties, criminal prosecution, monetary damages, disgorgement, contractual damages, reputational harm, curtailment or restructuring of our operations, exclusion from participation in federal and state healthcare programs (including Medicare and Medicaid), the imposition of a corporate integrity agreement, suspension or withdrawal of product approvals, restrictions or prohibitions on marketing, and other enforcement actions. Any investigation or enforcement action, even if ultimately resolved favorably, could cause us to incur significant legal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0"/>
        </w:rPr>
        <w:t>compliance expenses, divert management attention, and adversely affect our business, financial condition, results of operations, and prospects. We intend to develop and implement a comprehensive corporate compliance program prior to commercialization; however, compliance programs can mitigate but cannot eliminate the risk of noncompliance and related enforcement. For more information, see Item 1, “</w:t>
      </w:r>
      <w:r>
        <w:rPr>
          <w:rFonts w:ascii="Times New Roman" w:hAnsi="Times New Roman"/>
          <w:i/>
          <w:color w:val="000000"/>
          <w:sz w:val="20"/>
        </w:rPr>
        <w:t>Business—Governmental Regulation—Other Healthcare Laws”</w:t>
      </w:r>
      <w:r>
        <w:rPr>
          <w:rFonts w:ascii="Times New Roman" w:hAnsi="Times New Roman"/>
          <w:color w:val="000000"/>
          <w:sz w:val="20"/>
        </w:rPr>
        <w:t xml:space="preserve"> in the 2025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Moreover, federal, state or foreign laws or regulations are subject to change, and while we, our collaborators, manufacturers and/or service providers currently may be compliant, that could change due to changes in interpretation, prevailing industry standards 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European Union Member States, such as the U.K. Bribery Act 2010. Infringement of these laws could result in substantial fines and imprisonment.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consultants and collaborators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and other misconduct by our employees, consultants and collaborators. Such misconduct could include intentional failures to comply with FDA and other foreign agency regulations, provide accurate information to the FDA, comply with manufacturing standards required by the FDA or us,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medicines that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in human clinical trials of any development candidates we may develop and will face an even greater risk if we commercially sell any products that we may develop. If we cannot successfully defend ourselves against claims that our development candidates or medicines caused injuries, we could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medicines that we may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we will need to increase our insurance coverage when we begin clinical trials and if we successfully commercialize any product. Insurance coverage is increasingly expensive. We may not be able to maintain insurance coverage at a reasonable cost or in an amount adequate to satisfy any liability that may arise.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internal computer and information systems, or those used by our CROs, CMOs or other contractors or consultants, may fail or suffer security breaches, which could result in a material disruption of our development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development candidates could be significantly delayed.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unable to adequately protect our information systems from cybersecurity incidents or data breaches, which could result in the disclosure of confidential information, damage our reputation, and subject us to significant financial and legal exposure.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upon which we rely face a variety of evolving threats, which could cause cybersecurity incidents or data breaches. Cybersecurity incidents and data breaches are increasing in their frequency, sophistication and intensity, and have become increasingly difficult to detect. Cybersecurity incidents and data breaches could include wrongful conduct by hostile foreign governments, industrial espionage, wrongful conduct by employees or vendors, human error, wire fraud and other forms of cyber fraud, the deployment of harmful malware or ransomware, denial-of-service attacks, social engineering fraud (including successful phishing attacks) or other means to threaten data confidentiality, integrity and availability.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 other companies in our industry, we and our third party vendors, have experienced, or may experience, threats and cybersecurity incidents relating to our and our third-party vendors’ information systems and infrastructure. While we have not experienced any material cybersecurity incident or data breach to date, if such an event were to occur, it could cause serious negative consequences for us, including, without limitation, the disruption of operations, the misappropriation of confidential business information, including financial information, trade secrets, financial loss and the disclosure of corporate strategic plans.</w:t>
      </w:r>
    </w:p>
    <w:p>
      <w:pPr>
        <w:pStyle w:val="TextBody"/>
        <w:bidi w:val="0"/>
        <w:spacing w:before="120" w:after="283"/>
        <w:jc w:val="left"/>
        <w:rPr>
          <w:rFonts w:ascii="Times New Roman" w:hAnsi="Times New Roman"/>
          <w:sz w:val="20"/>
        </w:rPr>
      </w:pPr>
      <w:r>
        <w:rPr>
          <w:rFonts w:ascii="Times New Roman" w:hAnsi="Times New Roman"/>
          <w:color w:val="000000"/>
          <w:sz w:val="20"/>
        </w:rPr>
        <w:t>Although we devote resources to protect our information systems, there can be no assurance that our efforts will prevent cybersecurity incidents or data breaches that could result in business, legal, financial or reputational harm to us, or would have a material adverse effect on our results of operations and financial condition. Attempts to disrupt or gain unauthorized access to our and our third-party vendors’ information systems from malicious third parties or insider threats may incorporate widely varying and frequently changing tactics, which may be enhanced or facilitated by artificial intelligence. Further, our contracts may not contain limitations of liability, and even where they do, there can be no assurance that limitations of liability in our contracts are sufficient to protect us from liabilities, damages, or claims related to our privacy and data security obligations. Although we maintain cyber liability insurance, this insurance may not provide adequate coverage against potential liabilities related to any experienced cybersecurity incident or breach. For additional information on our cybersecurity obligations as well as our cybersecurity program, see Item 1 “</w:t>
      </w:r>
      <w:r>
        <w:rPr>
          <w:rFonts w:ascii="Times New Roman" w:hAnsi="Times New Roman"/>
          <w:i/>
          <w:color w:val="000000"/>
          <w:sz w:val="20"/>
        </w:rPr>
        <w:t>Business—Government Regulation—Privacy and Cybersecurity</w:t>
      </w:r>
      <w:r>
        <w:rPr>
          <w:rFonts w:ascii="Times New Roman" w:hAnsi="Times New Roman"/>
          <w:color w:val="000000"/>
          <w:sz w:val="20"/>
        </w:rPr>
        <w:t>” and Item 1C “</w:t>
      </w:r>
      <w:r>
        <w:rPr>
          <w:rFonts w:ascii="Times New Roman" w:hAnsi="Times New Roman"/>
          <w:i/>
          <w:color w:val="000000"/>
          <w:sz w:val="20"/>
        </w:rPr>
        <w:t>Cybersecurity</w:t>
      </w:r>
      <w:r>
        <w:rPr>
          <w:rFonts w:ascii="Times New Roman" w:hAnsi="Times New Roman"/>
          <w:color w:val="000000"/>
          <w:sz w:val="20"/>
        </w:rPr>
        <w:t>” in the 2025 10-K.</w:t>
      </w:r>
    </w:p>
    <w:p>
      <w:pPr>
        <w:pStyle w:val="TextBody"/>
        <w:bidi w:val="0"/>
        <w:spacing w:before="360" w:after="283"/>
        <w:jc w:val="left"/>
        <w:rPr>
          <w:rFonts w:ascii="Times New Roman" w:hAnsi="Times New Roman"/>
          <w:sz w:val="20"/>
        </w:rPr>
      </w:pPr>
      <w:r>
        <w:rPr>
          <w:rFonts w:ascii="Times New Roman" w:hAnsi="Times New Roman"/>
          <w:b/>
          <w:i/>
          <w:color w:val="000000"/>
          <w:sz w:val="20"/>
        </w:rPr>
        <w:t>Our failure to obtain regulatory approval in international jurisdictions would prevent us from marketing our development candidates outside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market and sell our future development candidates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development candidates in certain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comply with the regulatory requirements in international markets and receive applicable marketing approvals, our target market will be reduced and our ability to realize the full market potential of our development candidates will be harmed and our business will be adversely affected. We may not obtain foreign regulatory approvals on a timely basis, if at all. Our failure to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any of our development candidates by regulatory authorities in another country may significantly diminish the commercial prospects of that development candidate and our business prospects could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SEC and other government agencies caused by staffing cuts,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staffing,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Without appropriation of funding to federal agencies, our business operations related to our product development activities for the U.S. market could be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federal agencies, including substantial leadership departures, personnel cuts, and policy changes, may also slow the time necessary for new drugs to be reviewed and/or approved, which would harm our business. Changes and cuts in FDA staffing also could result in delays in the FDA’s responsiveness or in its ability to review regulatory submissions or applications, issue regulations or guidance, or implement or enforce regulatory requirements in a timely fashion or at all. For example, over the last several years, the U.S. government has shut down several times, including for a 43-day period that began on October 1, 2025, and certain regulatory agencies, such as the FDA, have had to furlough critical FDA employees and stop critical activities. If a prolonged government shutdown occurs, it could significantly impact the ability of the FDA and the SEC to timely review and process our submissions, which could have a material adverse effect on our business and our timelines.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government funding of other agencies on which our operations may rely, including those that fund research and development activities and clinical trials, is subject to the political process, which is inherently fluid and unpredictable. Changes to such agencies’ budgets, may negatively impact our operations and ongoing clinical trials.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change in the U.S. presidential administration in 2025, there is substantial uncertainty as to the extent and manner in which the U.S. government will seek to modify or revise the requirements and policies of the FDA and other regulatory agencies with jurisdiction over our development candidates and any products for which we obtain approval. This uncertainty could present new challenges and/or opportunities as we navigate development and approval of our development candidates. Additionally, the current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our collaborators and our service providers may be subject to a variety of privacy and data security laws, regulations and contractual obligations, and our failure to comply with them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maintain a large quantity of sensitive information, including confidential business and patient health information in connection with our preclinical studies, and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new laws continue to be proposed. Outside of the United States, many jurisdictions have enacted stringent privacy and data protection laws. The collection, use, disclosure, transfer or other processing of personal data originating from the European Economic Area, or EEA, and United Kingdom is governed by the General Data Protection Regulation, or EU GDPR, and the UK General Data Protection Regulation, or UK GDPR, which, together with the EU GDPR, is referred to as the GDPR. For additional information on these regimes, see Item 1 “</w:t>
      </w:r>
      <w:r>
        <w:rPr>
          <w:rFonts w:ascii="Times New Roman" w:hAnsi="Times New Roman"/>
          <w:i/>
          <w:color w:val="000000"/>
          <w:sz w:val="20"/>
        </w:rPr>
        <w:t>Business—Government Regulation—Privacy and Cybersecurity</w:t>
      </w:r>
      <w:r>
        <w:rPr>
          <w:rFonts w:ascii="Times New Roman" w:hAnsi="Times New Roman"/>
          <w:color w:val="000000"/>
          <w:sz w:val="20"/>
        </w:rPr>
        <w:t xml:space="preserve">” in the 2025 10-K. Compliance with these and any other applicable privacy and data security laws and regulations is a rigorous and time-intensive process, and we may be required to put in place additional mechanisms to ensure compliance, and despite those efforts, if we fail to comply with any such laws or regulations, we may face significant fines and penalties that could adversely affect our reputation,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use of new and evolving technologies, such as artificial intelligence, or AI, in our offerings may result in spending material resources and presents risks and challenges that can impact our business including by posing security and other risks to our confidential information, proprietary information and personal information, and as a result we may be exposed to reputational harm and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use and integrate AI into our business processes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use of certain AI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 tools.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expect to see increasing government and supranational regulation related to AI use and ethics, which may also significantly increase the burden and cost of research, development and compliance in this area. For example, the European Union began implementing the Artificial Intelligence Act, or AI Act, with a significant part of the law scheduled to come into effect in August 2026. As currently enacted, the AI Act, which may be amended, imposes significant obligations on providers and deployers of high risk AI systems, and encourages providers and deployers of AI systems to account for EU ethical principles in their development and use of these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the AI regulatory environment is complex and uncertain. Over the past year, states have advanced, and in some cases passed, dozens of laws focusing on AI governance and regulation, including on deployment of AI in healthcare settings. At the federal level, the current U.S. administration has endorsed a federal moratorium on the enforcement of state AI laws, including through a December 2025 executive order. So far, these efforts have not been successful at curtailing state action on AI regulation, contributing to a complicated legislative patchwork, which may be litigated in state and federal courts. If we develop or deploy AI systems that are governed by these laws or regulations, we will need to adopt higher standards of data quality, transparency, and human oversight, and adhere to specific and potentially burdensome and costly ethical, accountability, and administrative requirements. We may also be subject to significant enforcement or litigation in the event of any perceived non-compliance.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rapid evolution of AI will require the application of significant resources to help ensure that AI is implemented in accordance with applicable law and regulation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pStyle w:val="TextBody"/>
        <w:bidi w:val="0"/>
        <w:jc w:val="left"/>
        <w:rPr>
          <w:rFonts w:ascii="Times New Roman" w:hAnsi="Times New Roman"/>
          <w:sz w:val="20"/>
        </w:rPr>
      </w:pPr>
      <w:r>
        <w:rPr>
          <w:rFonts w:ascii="Times New Roman" w:hAnsi="Times New Roman"/>
          <w:b/>
          <w:color w:val="000000"/>
          <w:sz w:val="20"/>
        </w:rPr>
        <w:t>Risks Related to Our Third Party Relationships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that we or our employees or consultants have wrongfully used or disclosed alleged trade secrets of employees’ or consultants’ former employers or their clients. These claims may be costly to defend and if we do not successfully do so, we may be required to pay monetary damages and may lose valuable intellectual property rights or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development candidates, which could severely harm our business. Even if we are successful in defending against these claims, litigation could result in substantial costs and be a distraction to management.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rely on third parties to conduct our clinical trials and some aspects of our research, as well as some aspects of our delivery methods,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and expect to continue to, rely on third parties, such as CROs, clinical data management organizations, medical institutions, preclinical laboratories and clinical investigators, to conduct some aspects of our research. For example, we may rely on third parties to conduct some of our preclinical animal experiments and supply key materials for our programs. Any of these third parties may terminate their engagements with us at any time under certain criteria. If we need to enter into alternative arrangements, we may delay our product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finding strategic collaborators for continuing development of certain of our development candidates or successfully commercializing or competing in the market for certain indications; and we may not see any benefit from our collaboration agreement with Novo Nordisk, which is currently on hold.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we entered into a collaboration agreement with Novo Nordisk and in the future, we may decide to collaborate with non-profit organizations, universities, pharmaceutical and other biotechnology companies for the development and potential commercialization of existing and new development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development candidate, the costs and complexities of manufacturing and delivering such development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development candidates or technologies for similar indications that may be available to collaborate on and whether such a collaboration could be more attractive than the one with us for its development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development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development candidates or bring them to market and generate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any potential collaboration arrangements, including our collaboration agreement with Novo Nordisk, which as of November 2025 is on pause, will depend heavily on the efforts and activities of our collaborators. Collaborators generally have significant discretion in determining the efforts and resources that they will apply to these collaborations. For example, in November 2025, we agreed on a 12-month hold under our collaboration agreement with Novo Nordisk. Disagreements between parties to a collaboration arrangement regarding clinical development and commercialization matters can lead to delays in the development process or commercializing the applicable development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acquisitions or strategic alliances could disrupt our business and harm our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addressing acquisition integration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 divestitures due to potential exclusivity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coordination of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from the acquired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relationships with strategic partners as a result of product acquisitions or strategic positioning resulting from the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challenges associated with integrating employees from the acquired company into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implement or improve controls, procedures, and policies at a business that prior to the acquisition may have lacked sufficiently effective controls, procedures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liability for activities of the acquired company before the acquisition, including intellectual property infringement claims, violation of laws, commercial disputes, tax liabilities, and other 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write-offs or charges;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or other claims in connection with the acquired company, including claims from terminated employees, customers, former stockholders or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address these risks or other problems encountered in connection with our past or future acquisitions or strategic alliances could cause us to fail to realize the anticipated benefits of these transactions, cause us to incur unanticipated liabilities and harm our business generally. There is also a risk that future acquisitions will result in the incurrence of debt, contingent liabilities, amortization expenses or incremental operating expenses, any of which could harm our financial condition or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and anticipate that we will rely, on third parties to design, conduct, supervise and monitor our preclinical studies and clinical trials, and if those third parties perform in an unsatisfactory manner, it may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and anticipate that we will rely, on third party clinical investigators, CROs, clinical data management organizations and consultants to design, conduct, supervise and monitor preclinical studies and clinical trials of our development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own, including our inability to control whether sufficient resources are applied to our programs. If any of our CROs are acquired or consolidated, these concerns are likely to be exacerbated and our preclinical studies or clinical trials may be further impacted due to potential integration, streamlining, staffing and logistical changes.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preclinical and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and other health authorities require certain preclinical studies to be conducted in accordance with GLP, and clinical trials to be conducted in accordance with GCP,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 and other health authorities may require us to perform additional clinical trials. Our reliance on third parties that we do not control does not relieve us of these responsibilities and requirements. In the United States, we are also required to register certain clinical trials and post the results of completed clinical trials on a government-sponsored database, ClinicalTrials.gov, within certain timeframes. Failure to do so can result in fines, adverse publicity and civil and criminal sanctions. Any such event could adversely affect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in the supply and manufacture of our lead candidates and development candidates for our research, preclinical and clinical activities, and may do the same for commercial supplies of our lead candidates or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yet manufactured our development candidates on a commercial scale, and may not be able to do so for any of our development candidates. We currently rely on third parties in the supply and manufacture of materials for our research, preclinical and clinical activities and may continue to do so for the foreseeable future, including if we received regulatory approval for any development candidate. We may do the same for the commercial supply of our drug product. We use third parties to perform additional steps in the manufacturing process, such as the filling, finishing and labeling of vials and storage of our development candidates and we expect to do so for the foreseeable future. There can be no assurance that our supply of research, preclinical and clinical development drug candidates and other materials will not be limited, interrupted or restricted or will be of satisfactory quality or continue to be available at acceptable prices. Replacement of any of the third parties we may engage 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development candidates. Furthermore, with the increase of companies developing nucleic acid therapeutics, there may be increased competition for the supply of the raw materials that are necessary to make our REOs, which could severely impact the manufacturing of our development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in order to comply with regulatory standards. In the event that any of our suppliers or manufacturers fail to comply with such requirements or to perform their obligations to us in relation to quality, timing or otherwise, some of which may be out of their or our control, or if our supply of components or other materials becomes limited or interrupted for other reasons, we may be forced to increase the manufacturing of the materials ourself, for which we currently have limited capabilities and resources, or enter into an agreement with another third party, which we may not be able to do on reasonable terms, if at all. Any interruption of the development or operation of the manufacturing of our development candidates, such as order delays for equipment or materials, equipment malfunction,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lead candidates and development candidates or materials. In some cases, the technical skills or technology required to manufacture our lead candidates and development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lead candidates and development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lead candidates and development candidates in a timely manner or within budget.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required to enter into long-term manufacturing agreements that contain exclusivity provisions and/or substantial termination penalties which could have a material adverse effect on our business prior to or after commercialization of any of our development candidates. If we are unable to obtain or maintain third-party manufacturing for development candidates, or to do so on commercially reasonable terms, we may not be able to develop and commercialize our development candidates successfully. Failure to execute on our manufacturing requirements, either by us or by one of our third-party vendors, could adversely affect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Personnel, Operations and Growth</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attract and retain qualified key management and scientists, staff, consultants and advisors, our ability to implement our business plan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Although we implemented workforce reductions in May 2025 and in November 2025, we expect that we will continue to have an increased need to recruit and hire qualified personnel as we advance our programs and expand operations. Our recent workforce reductions could impede future recruiting and hiring efforts. Failure to successfully recruit and retain personnel could impact our anticipated development plans and timelines. For example, we have faced challenges in retaining and attracting employees to support our research and development efforts, and our failure to do so could have an adverse effect on our ability to execute on our business plan. We are dependent on the continued service of our technical personnel because of the highly technical and novel nature of our lead candidates, development candidates, platform and technologies and the specialized nature of the regulatory approval process. Replacing such personnel may be difficult and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take an extended period of time because of the limited number of individuals in our industry with the breadth of skills and experience required to successfully execute our business strategy, and we cannot assure you that we will be able to identify or employ qualified personnel for any such position on acceptable terms, if at all. Many of the biotechnology and pharmaceutical companies with whom we compete for qualified personnel have greater financial and other resources, different risk profiles and longer histories in the industry than we do.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In order to do so, we may need to pay higher compensation or fees to our employees or consultants than we currently expect, and such higher compensation payments may have a negative effect on our operating results. We face increased competition for personnel from other companies, universities, public and private research institutions, government entities and other organizations. If we are unable to attract and retain qualified personnel, the rate and success at which we may be able to discover and develop our development candidates and implement our business plan will be limited.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need to expand our research, development, delivery, manufacturing, commercialization, regulatory and future sales and marketing capabilities over time, and as a result, we may encounter difficulties in managing our future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57 full-time employees, including 42 who hold Ph.D. degrees or other advanced degrees; 40 employees are engaged in research and development and 17 employees are engaged in management or general and administrative activities. In May 2025, we announced a workforce reduction and organizational streamlining and in November 2025, we announced a further workforce reduction to extend our cash runway. In connection with the growth and advancement of our pipeline, we expect that we will need to increase the number of our employees and the scope of our operations, particularly in the areas of drug development, regulatory affairs, and as any development candidates near later stage clinical trials and potential commercialization by us, and sales and marketing. To manage our anticipated future growth, we must continue to implement and improve our managerial, operational and financial systems, expand our facilities, and continue to recruit and train additional qualified personnel. Our workforce reduction may make these efforts more challenging. Due to our limited financial resources and the limited experience of our management team in managing a company with such anticipated growth, we may not be able to effectively manage the expected future expansion of our operations or recruit and train additional qualified personnel. Any inability to manage growth could delay the execution of our business plans or disrupt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pre-commercial biotechnology company, we are actively pursuing new platforms and lead candidates in many therapeutic areas and across a wide range of diseases. Successfully developing development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and recent workforce reductions, we may not be able to effectively manage this simultaneous execution and the expansion of our operations or, when appropriate, recruit and train additional qualified personnel. This may result in weaknesses in our infrastructure, give rise to operational mistakes, legal or regulatory compliance failures, loss of business opportunities, further loss of employees and reduced productivity among remaining employees. The physical expansion of our operations may lead to significant costs and may divert financial resources from other projects, such as the development of our potential development candidates. If our management is unable to effectively manage the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development candidates we may develop will depend in part on our ability to effectively manage our future development and expansion.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not able to obtain or protect intellectual property rights related to any of our lead candidates and development candidates, development and commercialization of our development candidates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industry, the majority of an innovative product’s commercial value is usually realized during the period in which it has market exclusivity. Market exclusivity is comprised of both patent and other intellectual property protection, as well as regulatory exclusivity. In the United States and some other countries, when market exclusivity expires and generic versions of a product are approved and marketed, there usually are very substantial and rapid declines in the product’s sales. Accordingly, our success depends in part on our ability to obtain and maintain patents and other forms of intellectual property rights, including trademarks, trade secrets and, where necessary in-licenses of intellectual property rights of others, in the United States and in other countries for our development candidates and platform technologies, as well as for methods used to manufacture our development candidates, and methods for treating patients for approved indications using our development candidates, as well as our ability to preserve our trade secrets, to prevent third parties from infringing upon our proprietary rights and to operate without infringing upon the proprietary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of others. Certain research and development activities involved in pharmaceutical development are exempt from patent infringement in the United States and other jurisdictions, for example, in the United States by the provisions of 35 U.S.C. § 271I(1), or the Safe Harbor. However, in the United States and certain other jurisdictions, the Safe Harbor exemption can terminate when the sponsor submits an application for marketing approval (e.g., an NDA in the United States). Therefore, the risk that a third party might allege patent infringement may increase as our development candidates approach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 sufficient to stop a competitor from developing and commercializing a product. Furthermore, any successful challenge to these patents or any other patents owned by or licensed to us in the future after patent issuance could deprive us of rights necessary for the successful commercialization of any of our development candidates. Further, if we encounter delays in regulatory approvals, the period of time during which we could market a development candidate under patent protection could be reduced.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apply for patents or obtain patent protection on certain aspects of our development candidates or our RNA editing platform OPERA in a timely fashion or at all. 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We may not be able to obtain or maintain patent applications and patents due to the subject matter claimed in such patent applications and patents being in the public domain.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development candidates, platform technologies, or any methods relating to them, or to provide meaningful protection from competitors. Consequently, it is unknown whether our platform technology or development candidates will be protectable or remain protected by valid and enforceable patents. Any failure to obtain, maintain or defend our patents and other intellectual property could have a material adverse effect on our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certain that we are the first to invent the inventions covered by pending patent applications and, if they are not, we may be subject to entitlement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Because patent applications in the United States and other countries are confidential for a period of time after filing, at any moment in time, we cannot be certain that we were in the past or will be in the future the first to file any patent application related to our development candidates. For example, some patent applications in the United States may be maintained in secrecy until the patents are issued. Further, publications in the scientific literature often lag behind actual discoveries. Consequently, we cannot be certain that others have not filed patent applications for technology covered by our owned and issued patents or pending applications, or that we or, if applicable, a licensor were the first to invent or first to file an application for the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can be highly uncertain and involves complex legal and factual questions. As a result, the issuance, scope, validity, enforceability and commercial value of any patent rights are highly uncertain. We will be able to protect our proprietary rights from unauthorized use by third parties only to the extent that our current and future proprietary technology and development candidates are covered by valid and enforceable patents or are effectively maintained as trade secrets. If third parties disclose or misappropriate our proprietary rights, it may materially and adversely impact our position in the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defects of form in the preparation or filing of our patents or patent applications may exist, or may arise in the future, for example with respect to proper priority claims, inventorship, claim scope, or requests for patent term adjustments. If there are material defects in the form, preparation, prosecution, maintenance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Legal issues related to the patentability of biopharmaceuticals, and methods of their manufacture and use, are complex and uncertain in some countries. In some countries, applicants are not able to protect methods of treating human beings or medical treatment processes. Intellectual property protection varies throughout the world and is subject to change over time. Certain jurisdictions have enacted various rules and laws precluding issuance of patents encompassing any methods a doctor may practice on a human being or any other animal to treat a disease or condition. Further, many countries have enacted laws and regulatory regimes that do not allow patent protection for methods of use of known compounds. Thus, in some countries and jurisdictions, it may 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0"/>
        </w:rPr>
        <w:t>possible to patent some of our lead candidates and development candidates at all. In some countries and jurisdictions, only composition claims may be obtained, and only when those compositions are or contain compounds that are new and/or novel. Also, patents issued with composition claims (</w:t>
      </w:r>
      <w:r>
        <w:rPr>
          <w:rFonts w:ascii="Times New Roman" w:hAnsi="Times New Roman"/>
          <w:i/>
          <w:color w:val="000000"/>
          <w:sz w:val="20"/>
        </w:rPr>
        <w:t xml:space="preserve">i.e., </w:t>
      </w:r>
      <w:r>
        <w:rPr>
          <w:rFonts w:ascii="Times New Roman" w:hAnsi="Times New Roman"/>
          <w:color w:val="000000"/>
          <w:sz w:val="20"/>
        </w:rPr>
        <w:t xml:space="preserve">covering lead candidates and development candidates) cannot always be enforced to protect methods of using those compositions to treat or diagnose diseases or medical conditions. Legal systems in certain countries may not favor enforcement or protection of patents, trade secrets and other intellectual property. Lack of intellectual property protection in such cases may have a materially adverse effect on our business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given the amount of time required for the development, testing and regulatory review of new development candidates, patents protecting such candidates, their manufacture or their use might expire before or shortly after those candidates receive regulatory approval and are commercialized. As a result, our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Patent and Trademark Office, or USPTO, and various foreign governmental patent agencies require compliance with a number of procedural, documentary, fee payment and other provisions during the patent prosecution process. There are situations in which noncompliance can result in abandonment or lapse of a patent or patent application, or loss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 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lead candidates, development candidates and RNA editing technology. While we will endeavor to try to protect our lead candidates, development candidates and RNA editing technology with intellectual property rights such as patents, as appropriate, the process of filing and prosecuting patent applications, and obtaining, maintaining and defending patents is time-consuming, expensive, uncertain, and sometimes unpredictable. </w:t>
      </w:r>
    </w:p>
    <w:p>
      <w:pPr>
        <w:pStyle w:val="TextBody"/>
        <w:bidi w:val="0"/>
        <w:spacing w:before="360" w:after="283"/>
        <w:jc w:val="left"/>
        <w:rPr>
          <w:rFonts w:ascii="Times New Roman" w:hAnsi="Times New Roman"/>
          <w:sz w:val="20"/>
        </w:rPr>
      </w:pPr>
      <w:r>
        <w:rPr>
          <w:rFonts w:ascii="Times New Roman" w:hAnsi="Times New Roman"/>
          <w:b/>
          <w:i/>
          <w:color w:val="000000"/>
          <w:sz w:val="20"/>
        </w:rPr>
        <w:t>Our pending patent applications may not issue as patents, and even issued patents may not provide sufficient protection of our RNA editing platform OPERA, our lead candidates and our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claims directed toward the technology underlying our OPERA platform, our patents and patent applications contain claims directed to compositions of matter on the active pharmaceutical ingredients, or APIs, in our lead candidates and development candidates, as well as methods-of-use directed to the use of an API for a specified treatment. Composition-of-matter patents on the active pharmaceutical ingredient in prescription drug products provide protection without regard to any particular method of use of the API used.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 Although off-label use may infringe or contribute to the infringement of method-of-use patents, the practice is common and this type of infringement is difficult to prevent or prosecute.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 involves complex legal and scientific questions and can be uncertain. The patent applications that we own or may in-license in the future may fail to issue as patents with claims that cover our lead candidates and development candidates or uses thereof in the United States or in other foreign countries. For example, while our patent applications are pending, we may be subject to a third party preissuance submission of prior art to the USPTO or become involved derivation proceedings, or equivalent proceedings in foreign jurisdictions.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if patents do successfully issue, third parties may challenge our patents based on inventorship, validity, enforceability or scope, including through opposition, revocation, reexamination, post-grant and </w:t>
      </w:r>
      <w:r>
        <w:rPr>
          <w:rFonts w:ascii="Times New Roman" w:hAnsi="Times New Roman"/>
          <w:i/>
          <w:color w:val="000000"/>
          <w:sz w:val="20"/>
        </w:rPr>
        <w:t>inter partes</w:t>
      </w:r>
      <w:r>
        <w:rPr>
          <w:rFonts w:ascii="Times New Roman" w:hAnsi="Times New Roman"/>
          <w:color w:val="000000"/>
          <w:sz w:val="20"/>
        </w:rPr>
        <w:t xml:space="preserve"> review proceedings. An adverse determination in any such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development candidates. Furthermore, even if they are unchallenged, our patents and patent applications may not adequately protect our intellectual property or prevent others from designing around our claims. Moreover,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lead candidates and development candidates is threatened, it could dissuade companies from collaborating with us to develop, and threaten our ability to commercialize our development candidates. Further, if we encounter delays in development, testing, and regulatory review of new development candidates, the period of time during which we could market our development candidates under patent protection would be reduced.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parties have developed technologies that may be related or competitive to our technologies.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Our competitors may have filed, and may in the future file, patent applications covering our products or technology similar to our own. Any such patent application may have priority over our patent applications or patents, which could require us to obtain rights to issued patents covering such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programs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 Moreover, it is also possible that prior art may exist that we are aware of but do not believe is relevant to our current or future patents, but that could nevertheless be determined to render our patents invalid.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patents,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the patents for which we have applied. To counter infringement or unauthorized use, we may be required to initiate legal proceedings to enforce our patent rights, which can be expensive and time-consuming. If we initiate legal proceedings against a third party to enforce a patent covering one of our development candidates, the defendant could counterclaim that the patent covering our product or development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for example, lack of novelty, lack of written disclosure, obviousness, or non-enablement. Grounds for an unenforceability assertion could be an allegation that someone connected with prosecution of the patent withheld relevant information from the USPTO, or made a misleading statement, during prosecution. The outcome of patent litigation is often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one or more of our products or certain aspects of our platform technology. Further, a court or administrative body could construe certain patent claims narrowly or refuse to prevent the other party from using the technology at issue on the ground that our patents do not cover the technology.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w:t>
      </w:r>
      <w:r>
        <w:rPr>
          <w:rFonts w:ascii="Times New Roman" w:hAnsi="Times New Roman"/>
          <w:i/>
          <w:color w:val="000000"/>
          <w:sz w:val="20"/>
        </w:rPr>
        <w:t>inter partes</w:t>
      </w:r>
      <w:r>
        <w:rPr>
          <w:rFonts w:ascii="Times New Roman" w:hAnsi="Times New Roman"/>
          <w:color w:val="000000"/>
          <w:sz w:val="20"/>
        </w:rPr>
        <w:t xml:space="preserve"> review and equivalent proceedings in foreign jurisdictions (for example, opposition proceedings). Such proceedings could result in revocation of or amendment to our patents in such a way that they no longer cover our lead candidates and development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lead candidates and development candidates. An adverse result in any litigation or defense proceedings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put one or more of our patents at risk of being invalidated or interpreted narrowly, could put our patent applications at risk of not issuing and could have a material adverse impact on our business.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establish infringement of any of our patents by a third party, a court may decide not to grant an injunction against further infringing activity, thus allowing the competitive product to continue to be marketed by the competitor. It is difficult to obtain an injunction in U.S. litigation and a court could decide that the competitor should instead pay us a “reasonable royalty” as determined by the court, and/or other monetary damages. A reasonable royalty or other monetary damages may or may not be an adequate remedy. Loss of exclusivity and/or competition from a related product would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in-license patent rights in the future,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or our future licensors, as the case may be, may not be able to detect infringement against our owned or in-licensed patents, which may be especially difficult for manufacturing processes or formulation patents. Even if we or our future licensors detect infringement by a third party of owned or future in-licensed patents, we or our licensors, as the case may be, may choose not to pursue litigation against or settlement with the third party. If we or our licensors later sue such third party for patent infringement, the third party may have certain legal defenses available to it that otherwise would not be available but for the delay between when the infringement was first detected and when the suit was brought. These legal defenses may make it impossible for us or our licensors to enforce owned or future in-licensed patents, as the case may be, against that third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Third-party claims of intellectual property infringement may prevent, delay or otherwise interfere with our product discovery and development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develop, manufacture, market and sell our development candidates and use our proprietary technologies without infringing, misappropriating or otherwise violating the intellectual property or proprietary rights of third parties.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is a substantial amount of litigation involving patents and other intellectual property rights in the biotechnology and pharmaceutical industries, as well as administrative proceedings for challenging patents, including derivation, </w:t>
      </w:r>
      <w:r>
        <w:rPr>
          <w:rFonts w:ascii="Times New Roman" w:hAnsi="Times New Roman"/>
          <w:i/>
          <w:color w:val="000000"/>
          <w:sz w:val="20"/>
        </w:rPr>
        <w:t>inter partes</w:t>
      </w:r>
      <w:r>
        <w:rPr>
          <w:rFonts w:ascii="Times New Roman" w:hAnsi="Times New Roman"/>
          <w:color w:val="000000"/>
          <w:sz w:val="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development candidates and/or proprietary technologies infringe, misappropriate or otherwise violate their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that are owned by third parties exist in the fields in which we are developing our development candidates. As the biotechnology and pharmaceutical industries expand and more patents are issued, the risk increases that our development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development candidates, technologies or methods. We are aware of competitors in the oligonucleotide space whose patent application filings and/or issued patents may include claims directed to technologies and/or products related to some of our programs and development candidates. For example, we are aware of patents and patent applications owned by third parties that have generic claims that may relate to our technologies and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third party claims that we infringe, misappropriate or otherwise violate our intellectual property rights, we may face a number of issues,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infringement and other intellectual property claims that, regardless of merit, may be expensive and time-consuming to litigate and may divert our management’s attention from our core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damages for infringement, which we may have to pay if a court decides that the development candidate or technology at issue infringes on or violates the third party’s rights, and, if the court finds that the infringement was willful, we could be ordered to pay treble damages plus the patent owner’s attorneys’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prohibiting us from developing, manufacturing, marketing or selling our development candidates, or from using our proprietary technologies, unless the third party licenses its product rights to us, which it is not required to do, on commercially reasonable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license is available from a third party, we may have to pay substantial royalties, upfront fees and other amounts, and/or grant cross-licenses to intellectual property rights for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that we redesign our development candidates or processes so they do not infringe, which may not be possible or may require substantial monetary expenditures and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could be public announcements of the results of hearings, motions, or other interim proceedings or developments, and if securities analysts or investors perceive these results to be negative, it could have a substantial adverse effect on the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including by enforcing its patents against us by filing a patent infringement lawsuit against us. In this regard, patents issued in the United States by law enjoy a presumption of validity that can be rebutted only with evidence that is “clear and convincing,” a heightened standard of proof.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third-party patents of which we are currently unaware with claims to materials, formulations, methods of manufacture or methods for treatment related to the use or manufacture of our lead candidates or development candidates. Because patent applications can take many years to issue, there may be currently pending patent applications that may later result in issued patents that our lead candidates or development candidates may infringe. In addition, third parties may obtain patents in the future and claim that use of our technologies infringes upon these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third-party patents were held by a court of competent jurisdiction to cover the manufacturing process of our lead candidates or development candidates, or materials used in or formed during the manufacturing process, or any final product itself, the holders of those patents may be able to block our ability to commercialize our development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development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development candidates may be impaired or delayed, which could significantly harm our business. Even if we obtain a license, it may be non-exclusive, thereby giving our competitors access to the same technologies licensed to it. In addition, if the breadth or strength of protection provided by our patents and patent applications is threatened, it could dissuade companies from collaborating with us to license, develop or commercialize current or future development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development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development candidates and we may fail to obtain any of these licenses at a reasonable cost or on reasonable terms, if at all. In that event, we would be unable to further develop and commercialize our development candidates, which could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Likewise, our patents and patent applications, if issued as patents, directed to our proprietary technologies, lead candidates and development candidates are expected to expire from 2040 through 2046, without taking into account any possible patent term adjustments or extensions. Our earliest in-licensed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licensors, collaborators or strategic partners may be subject to third-party claims for infringement or misappropriation of patent or other proprietary rights. We may be generally obligated under our future potential license or collaboration agreements to indemnify and hold harmless our licensors or collaborators for damages arising from intellectual property infringement by us. If we or our future licensors, collaborators or strategic partners are found to infringe a third-party patent or other intellectual property rights, we could be required to pay damages, potentially including treble damages, if we are found to have willfully infringed. In addition, we or our future licensors, collaborators or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it. If we fail to obtain a required license, we or our future collaborators may be unable to effectively market development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acquiring or in-licensing necessary rights to key technologies or any development candidates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future growth of our business may depend in part on our ability to in-license or otherwise acquire the rights to additional development candidates and technologies. There has been extensive patenting activity in the field of gene editing. Pharmaceutical companies, biotechnology companies and academic institutions are competing with us or are expected to compete with us in the field of gene editing technology and filing patent applications potentially relevant to our business. In order to market our development candidates, we may find it necessary or prudent to obtain licenses from third-party intellectual property holders. However, we may be unable to secure such licenses or otherwise acquire or in-license any compositions, methods of use, processes, or other intellectual property rights from third parties that we identify as necessary to develop or commercialize our development candidates or other key technologies. We may also require licenses from third parties for certain additional technologies, including technologies relating to RNA editing, such as guide RNA modification, or target sequences as well as delivery technologies for development candidates we may develop. We may not be able to obtain such a license on an exclusive basis, on commercially reasonable terms, or at all, which could prevent us from commercializing our development candidates or allow our competitors or other third parties the chance to access technology that is important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may collaborate with academic institutions to accelerate our research or development under written agreements with these institutions. In certain cases, these institutions may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and if we are successful in obtaining an in-license, such collaboration may make us subject to governmental step-in rights under the Bayh-Dole Act. If we are unable to do so, such institution may offer the intellectual property rights to others, potentially blocking our ability to pursue our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licensing or acquisition of third-party intellectual property rights is a highly competitive area, and a number of more established companies are also pursuing strategies to license or acquire third-party intellectual property rights that it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we may be unable to obtain required licenses at a reasonable cost or on reasonable terms, if at all. Even if we are able to obtain a license, we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programs, which could harm our business, financial condition, results of operations, and prospects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us and our future licensors regarding intellectual property subject to a license agreement, including: the scope of rights granted under the license agreement and other interpretation- 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obtain rights to required third party intellectual property rights or maintain the existing intellectual property rights we have, we may have to abandon development of the relevant program or development candidate,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Third parties may assert that our employees, consultants, or advisors have wrongfully used or disclosed confidential information or misappropriated trade secrets.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Also, we have in the past and may in the future be subject to claims that these individuals are violating non-compete agreements with their former employers. We may then have to pursue litigation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are due to be paid to the USPTO and foreign patent agencies outside of the United States over the lifetime of our owned or licensed patents and applications. The USPTO and foreign patent agencies require compliance with several procedural, documentary, fee payment, and other similar provisions during the patent application process. We are also dependent on our licensors to take the necessary action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limited foreign intellectual property rights and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intellectual property rights outside the United States. Filing, prosecuting, and defending patents on lead candidates and development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development candidates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filing, prosecuting and defending patents on programs worldwide would be prohibitively expensive and our intellectual property rights in some foreign jurisdictions can be less extensive than those in the United States.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patent law in the United States and in non-U.S. jurisdictions could diminish the value of patents in general, thereby impairing our ability to protect our RNA editing platform technology, lead candidates and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could increase the uncertainties and costs surrounding the prosecution of patent applications and the enforcement or defense of our issued patents and pending patent applications.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could therefore be awarded a patent covering an invention of ours even if we had made the invention before it was made by such third party. This will require us to be cognizant going forward of the time from invention to filing of a patent application.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Because patent applications in the United States and most other countries are confidential for a period of time after filing or until issuance, we cannot be certain that we or our licensors were the first to either file any patent application related to our technology or lead candidates and development candidates or to invent any of the inventions claimed in our or our licensor’s patents or patent applications. The America Invents Act also includes a number of other significant changes to U.S. patent law, including provisions that affect the way patent applications are prosecuted, allowing third party submission of prior art and establishing a post-grant review system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recent U.S. Supreme Court and U.S. Court of Appeals for the Federal Circuit rulings have narrowed the scope of patent protection available in certain circumstances and weakened the rights of patent owners in certain situations. In addition to increasing uncertainty with regard to our ability to obtain patents in the future, these rulings have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future decisions by the courts, the U.S. Congress or the USPTO may impact the value of our patents. Any adverse changes in the patent laws of other jurisdictions could also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could increase the uncertainties and costs surrounding the prosecution or maintenance of patent applications and the maintenance, enforcement or defense of issued patents. Accordingly, our competitive position may be impaired, and our business, financial condition, results of operations and prospects may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recently the European Unified Patent Court, or UPC, was created as a common patent court to hear patent infringement and revocation proceedings effective for member states of the EU. This could enable third parties to seek revocation of a European patent in a single proceeding at the UPC rather than through multiple proceedings in each of the jurisdictions in which the European patent is validated. Although we do not currently own any European patents,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technology, lead candidates and development candidates, we also rely on know-how and trade secret protection, as well as confidentiality agreements, non-disclosure agreements and invention assignment agreements with our employees, consultants and third-parties, to protect our confidential and proprietary information, especially where we does not believe patent protection is appropriate or obtainable.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these parties may breach the agreements and disclose our proprietary information, including our trade secrets, and we may not be able to obtain adequate remedies for such breaches. Enforcing a claim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party illegally disclosed or misappropriated a trade secret is difficult, expensive, and time-consuming, and the outcome is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protect our competitive position on our development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Patent Term Extension, or PTE, and Patent Term Adjustment, or PTA, may be available, but the life of a patent, and the protection it affords, is limited. For more information regarding PTA and PTE, see Item 1 “</w:t>
      </w:r>
      <w:r>
        <w:rPr>
          <w:rFonts w:ascii="Times New Roman" w:hAnsi="Times New Roman"/>
          <w:i/>
          <w:color w:val="000000"/>
          <w:sz w:val="20"/>
        </w:rPr>
        <w:t>Business—Intellectual Property</w:t>
      </w:r>
      <w:r>
        <w:rPr>
          <w:rFonts w:ascii="Times New Roman" w:hAnsi="Times New Roman"/>
          <w:color w:val="000000"/>
          <w:sz w:val="20"/>
        </w:rPr>
        <w:t xml:space="preserve">” in the 2025 10-K. Even if patents covering our development candidates are obtained, once the patent life has expired, we may be open to competition from competitive products, including generics. Given the amount of time required for the development, testing and regulatory review of new development candidates, patents protecting our development candidates might expire before or shortly after we or our partners commercialize those candidates. As a result, our owned and licensed patent portfolio may not provide us with sufficient rights to exclude others from commercializing products similar or identical to ours.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PTE and data exclusivity for any development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development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development candidates we may develop will eventually become commercially available in generic or biosimilar product 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gene therapy products that are similar to any development candidates we may develop or utilize similar base editing technology but that are not covered by the claims of the patents that we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license partners or collaborators, might not have been the first to make the inventions covered by the issued patent or pending patent application that we license or may own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license partners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license partners or collaborators, may fail to meet our obligations to the U.S. government regarding any in-licensed patents and patent applications funded by U.S. government grants, leading to the loss or unenforceability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or those that we may own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our patents, or parts of our owned or in-licensed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unpublished applications or patent applications maintained in secrecy that may later issue with claims covering our development candidates or technology similar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unenforceable, or narrowed in scope,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issued patents or patent applications, if and when issued, may not cover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foreign countries may not protect our proprietary rights or the proprietary rights of our future license partners or collaborators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 of our patents or patent applications may become involved with competitors, develop products or processes that design around our patents, or become hostile to us or the patents or patent applications on which they are named as inventors;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conduct research and development activities in countries where we do not have patent rights or enforceable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been engaged in scientific collaborations and will continue to do so in the future and our collaborators may develop adjacent or competing products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development candidates we develop may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third party may challenge, invalidate, circumvent or weaken our patents, and as a result, a court could hold that our patents are not valid, enforceable and infringed;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use of open source software could impose limitations on our ability to commercialize our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use of open source software could impose limitations on our ability to commercialize our development candidates. Our technology utilizes open source software that contains modules licensed for use from third-party authors under open source licenses. In particular, some of the software that powers OPERA may be provided under license arrangements that allow use of the software for research or other non-commercial purposes. As a result, in the future, as we seek to use our platform in connection with commercially available products, we may be required to license that software under different license terms, which may not be possible on commercially reasonable terms, if at all. If we are unable to license software components on terms that permit our use for commercial purposes, we may be required to replace those software components, which could result in delays, additional cost and additional regulatory approvals.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 source software, the terms of many open source licenses have not been interpreted by U.S. courts, and there is a risk that those licenses could be construed in a manner that could impose unanticipated conditions or restrictions on our ability to commercialize our development candidates. We could be required to seek licenses from third parties in order to continue offering our development candidates, to re-engineer our development candidates or to discontinue the sale of our development candidates in the event re-engineering cannot be accomplished on a timely basis, any of which could materially and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could be materially and adversely affected in the future by the effects of disease outbreaks, epidemics and pandemics.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Disease outbreaks, epidemics and pandemics in regions where we may have clinical trial sites or other business operations could adversely affect our business, including by causing significant disruptions in our operations and/or in the operations of CROs upon whom we may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development candidates,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supply chain issues may be exacerbated during disease outbreaks, epidemics and pandemics and may also impact the ability of our clinical trial sites to obtain basic medical supplies used in our trials in a timely fashion, if at all. If any of our raw materials or components suppliers become subject to acts or orders of U.S. or foreign government entities to allocate or prioritize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operations are vulnerable to interruption by disasters, terrorist activity, pandemics and other events beyond our control,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are located in Massachusetts. We have not undertaken a systematic analysis of the potential consequences to our business and financial results from a major flood, power loss, terrorist activity, pandemics or other disasters and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 </w:t>
      </w:r>
    </w:p>
    <w:p>
      <w:pPr>
        <w:pStyle w:val="TextBody"/>
        <w:bidi w:val="0"/>
        <w:spacing w:before="360" w:after="283"/>
        <w:jc w:val="left"/>
        <w:rPr>
          <w:rFonts w:ascii="Times New Roman" w:hAnsi="Times New Roman"/>
          <w:sz w:val="20"/>
        </w:rPr>
      </w:pPr>
      <w:r>
        <w:rPr>
          <w:rFonts w:ascii="Times New Roman" w:hAnsi="Times New Roman"/>
          <w:b/>
          <w:i/>
          <w:color w:val="000000"/>
          <w:sz w:val="20"/>
        </w:rPr>
        <w:t>Litigation costs and the outcome of litigation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subject to litigation claims through the ordinary course of our business operations regarding, but not limited to, employment matters, security of employee personal information, contractual relations with third parties and intellectual property rights. Litigation to defend ourself against claims by third parties, or to enforce any rights that we may have against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may continue to be necessary, which could result in substantial costs and diversion of our resources, causing a material adverse effect on our business, financial condition, results of operations or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The price of our common stock is volatile and fluctuates substantially, which could result in substantial losses for our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has been, and is likely to continue to be, volatile. Some of the factors that may cause the market price of our common stock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preclinical studies of our lead candidates and development candidates, or those of our competitors or our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financial and development projections we may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the financial and development projections of the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development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securities or industry analysts do not publish research or reports about our business, or if they issue adverse or misleading opinions regarding our business and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or macroeconomic conditions or 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securities by us or our securityholders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raise an adequate amount of capital to fund our operations or continued development of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competitors of new commercial products, clinical progress or lack thereof, significant contracts, commercial relationships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relating to precision medicine development candidates, including with respect to other products in such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introduction of technological innovations or new therapies that compete with our products and services;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incurring and expect to continue to incur additional costs and increased demands upon management as a result of complying with the laws and regulations affecting public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incurring and expect to continue to incur significant legal, accounting and other expenses operating as a public company, including costs associated with public company reporting obligations under the Exchange Act. Our management team includes some individuals who have not previously managed and operated a public company. These executive officers and other personnel will need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devote substantial time to gaining expertise related to public company reporting requirements and compliance with applicable laws and regulations to ensure that we continue to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operating our current business as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360" w:after="283"/>
        <w:jc w:val="left"/>
        <w:rPr>
          <w:rFonts w:ascii="Times New Roman" w:hAnsi="Times New Roman"/>
          <w:sz w:val="20"/>
        </w:rPr>
      </w:pPr>
      <w:r>
        <w:rPr>
          <w:rFonts w:ascii="Times New Roman" w:hAnsi="Times New Roman"/>
          <w:b/>
          <w:i/>
          <w:color w:val="000000"/>
          <w:sz w:val="20"/>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 smaller reporting company with less than $100.0 million of revenues, we may take advantage of exemptions from various requirements such as an exemption from the requirement to have our independent auditors attest to our internal control over financial reporting under Section 404 of the Sarbanes-Oxley Act of 2002. Although we no longer qualify as an emerging growth company, we still qualify as a “smaller reporting company,” as such term is defined in Rule 12b-2 under the Exchange Act, which allows us to take advantage of many of the same exemptions from disclosure requirements, including reduced disclosure obligations regarding executive compensation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 over financial reporting in our annual report on Form 10-K filing for that year, as required by Section 404 of the Sarbanes-Oxley Act. This will require that we incur substantial professional fees and internal costs to expand our accounting and finance functions and that we expend significant management efforts. We may experience difficulty in meeting these reporting requirements in a timely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and bylaws and provisions under Delaware law could make an acquisition of us more difficult and may prevent attempts by our stockholders to replace or remove our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restated certificate of incorporation, as amended, and bylaws may discourage, delay or prevent a merger, acquisition or other change in control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provisions may frustrate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prevent any attempts by our stockholders to replace or remove our current management by making it more difficult for stockholders to replace members of our board of directors. Among other things,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all members of the board are not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 the authorized number of our directors to be changed only by resolution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the manner in which stockholders can remove directors from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the board of directors or for proposing matters that can be acted 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 actions must be effected at a duly called stockholder meeting and prohibit actions by our stockholders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who may call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approval of the holders of at least 66.67% of the votes that all our stockholders would be entitled to cast to amend or repeal certain provisions of our charter or bylaws.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General Corporation Law of Delaware, or the DGCL, which prohibits stockholders owning in excess of 15% of our 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to us or our stockholders, (iii) any action asserting a claim arising pursuant to any provision of the DGCL, our charter or our bylaws, or (iv)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The Delaware Forum Provision will not apply to any causes of action arising under the Securities Act and the Exchange Act. Our bylaws further provide that, unless we consent in writing to an alternative forum, federal district courts of the United States will be the exclusive forum for resolving any complaint asserting a cause of action arising under the Securities Act, which for purposes of this risk factor refers to herein as the “Federal Forum Provision.” In addition, our bylaws provide that any person or entity purchasing or otherwise acquiring any interest in shares of our capital stock is deemed to have notice of and consented to the foregoing Delaware Forum Provision and Federal Forum Provision; provided, however, that stockholders cannot and will not be deemed to have waived compliance with the U.S.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Delaware Forum Provision and the Federal Forum Provision may impose additional litigation costs on our stockholders in pursuing any such claims, particularly if our stockholders do not reside in or near the State of Delaware. Additionally, the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anticipate that we will pay any cash dividends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expectation is that we will retain our future earnings, if any, to fund the growth of our business as opposed to paying dividends. As a result, capital appreciation, if any, of our common stock will be your sole source of gain, if any, for the foreseeable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An active trading market for our common stock may not continue to develop or be sustained and our stockholders may not be able to resell their shares of common stock for a profit,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an active trading market for our shares of common stock may continue to develop or be sustained. If an active market for our common stock does not continue to develop or is not sustained, it may be difficult for our stockholders to sell their shares at an attractive price or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shares by existing stockholders could cause our stock price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existing securityholders sell, or indicate an intention to sell, substantial amounts of our common stock in the public market, the trading price of our common stock could decline as a result of the sale of a substantial number of our shares of common stock in the public market or the perception in the market that the holders of a large number of shares intend to sell their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executive officers, directors and principal stockholders have the ability to control or significantly influence all matters submitted to our stockholders for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executive officers, directors and principal stockholders, in the aggregate, beneficially own approximately 54%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 </w:t>
      </w:r>
    </w:p>
    <w:p>
      <w:pPr>
        <w:pStyle w:val="TextBody"/>
        <w:bidi w:val="0"/>
        <w:spacing w:before="360" w:after="283"/>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have broad discretion in the use of our cash and cash equivalents and may invest or spend our cash in ways with which you do not agree and in ways that may not increase the value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have broad discretion over the use of our cash and cash equivalents. You may not agree with our decisions, and our use of our cash and cash equivalents may not yield any return on your investment. Our failure to apply these resources effectively could compromise our ability to pursue our growth strategy and we might not be able to yield a significant return, if any, on our investment. You will not have the opportunity to influence our decisions on how to use our cash resources.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development candidates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revenues, we expect to finance our capital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 In addition, if we raise funds through additional license and collaboration agreements, strategic alliances or licensing arrangements with third parties, we may have to relinquish valuable rights to our intellectual property, technologies, future revenue streams, research programs or development candidates we may develop, or we may have to grant licenses on terms that may not be favorable.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laws or in their implementation or interpretation may adversely affect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and financial condition. In recent years, many such changes have been made and changes are likely to continue to occur in the future. The most recent U.S. federal tax legislation was signed into law on July 4, 2025 and modified how we account for research and development expenses. In addition, it is unclear how these U.S. federal income tax changes will affect state and local taxation.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utilize our net operating loss, or NOL,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losses and we may never achieve profitability. As of December 31, 2025, we had federal and state NOLs of $462.0 million and $436.9 million, respectively. Under current law, our federal NOLs generated in taxable years ending after December 31, 2017, may be carried forward indefinitely, but the deductibility of such federal NOLs is limited to 80% of our taxable income annually for tax years beginning after December 31, 2018. Federal NOLs generated in taxable years ending on or prior to December 31, 2017, however, have a 20-year carryforward period, but are not subject to the 80% limitation. We have federal NOLs of $22.4 million that are subject to expiration between 2036 and 2037 and have $439.6 million of federal NOLs that do not expire. Our state NOLs expire at various dates from 2035 through 2045. As of December 31, 2025, we had federal research and development tax credit carryforwards of $20.2 million that expire at various dates from 2037 through 2045. In addition, as of December 31, 2025, we had state research and development tax credit carryforwards of $9.9 million that expire at various dates from 2032 through 2040.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or the Code, if a corporation undergoes an “ownership change,” generally defined as one or more shareholders or groups of shareholders who own at least 5% of the corporation’s equity increasing their equity ownership in the aggregate by more than 50 percentage points (by value) over a rolling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may have resulted in such ownership changes in the past. We have not conducted a formal study to assess whether a change of control has occurred or whether there have been multiple changes of control since inception. In addition, we may experience ownership changes in the future as a result of future securities offering or subsequent shifts in our stock ownership, some of which are outside of our control. In particular, if the November 2023 business combination or the private financing that closed immediately prior thereto constitutes an ownership change within the meaning of Section 382 of the Code, we could lose or otherwise be substantially limited in our ability to use our NOLs and tax credit carryforwards. As a result, if we earn net taxable income in the future, our ability to use our pre-change NOLs or other pre-change tax attributes to offset U.S. federal taxable income or income taxes may be subject to limitations, which could potentially result in increased future tax liability to us.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global economic conditions could adversely affect our business, financial condition, results of operations or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A severe or prolonged economic downturn could result in a variety of risks to our business, including weakened demand for our development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may be impacted by macroeconomic conditions, including inflation, rising interest rates and volatile market conditions, and other uncertainties beyond our control, including geopolitical events, such as ongoing U.S. and Israeli military action in Iran, and effects thereof.</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effectively run our business could be adversely affected by general conditions in the global economy and in the financial services industry. Various macroeconomic factors could adversely affect our business, including fears concerning the banking sector (such as what occurred in 2023), changes in inflation, interest rates and overall economic conditions and uncertainties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(including as a result of announced tariffs or other policy changes by the current U.S. administration).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 severe or prolonged economic downturn could result in a variety of risks, including our ability to raise additional funding on a timely basis or on acceptable terms. A weak or declining economy could also impact third parties upon whom we depend to run our business.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Moreover, significant political, trade, regulatory developments, and other circumstances beyond our control, such as geopolitical events, like the ongoing U.S. and Israeli military action in Iran and effects thereof, could have a material adverse effect on our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June 30, 2026, the following officers (as defined in Rule 16a-1(f) under the Exchange Act) adopted, amended or terminated contracts, instructions or written plans for the purchase or sale of our securities that were intended to satisfy the affirmative defense conditions of Rule 10b5-1(c) under the Exchange Act (each, a “Rule 10b5-1 plan”): On May 28, 2026, Loïc Vincent, our Chief Scientific Officer, terminated a Rule 10b5-1 plan providing for the potential sale of up to 7,292 shares of our common stock issuable upon the exercise of stock options, and on June 7, 2026, Dr. Vincent adopted a Rule 10b5-1 plan providing for the potential sale of up to 21,715 shares of our common stock issuable upon the vesting and settlement of restricted stock units, as well as up to 4,584 shares of our common stock issuable upon the exercise of stock options; this plan is scheduled to expire on February 1, 2028. On June 8, 2026, Oliver Dolan, our Senior Vice President, Finance, adopted a Rule 10b5-1 plan providing for the potential sale of up to 21,482 shares of our common stock issuable upon the vesting and settlement of restricted stock units; this plan is scheduled to expire on June 4, 2027. During the three months ended June 30, 2026, none of our other officers or directors informed us that they adopted, modified or terminated a Rule 10b5-1 plan or a trading plan not intended to satisfy the affirmative defense conditions of Rule 10b5-1(c) under the Exchange Act.</w:t>
      </w:r>
    </w:p>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3"/>
        <w:gridCol w:w="146"/>
        <w:gridCol w:w="9286"/>
      </w:tblGrid>
      <w:tr>
        <w:trPr/>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6" w:type="dxa"/>
            <w:tcBorders/>
            <w:vAlign w:val="center"/>
          </w:tcPr>
          <w:p>
            <w:pPr>
              <w:pStyle w:val="TableContents"/>
              <w:bidi w:val="0"/>
              <w:spacing w:before="0" w:after="283"/>
              <w:jc w:val="left"/>
              <w:rPr>
                <w:sz w:val="4"/>
                <w:szCs w:val="4"/>
              </w:rPr>
            </w:pPr>
            <w:r>
              <w:rPr>
                <w:sz w:val="4"/>
                <w:szCs w:val="4"/>
              </w:rPr>
            </w:r>
          </w:p>
        </w:tc>
      </w:tr>
      <w:tr>
        <w:trPr/>
        <w:tc>
          <w:tcPr>
            <w:tcW w:w="773"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(incorporated by reference to Exhibit 3.1 to the registrant’s Current Report on Form 8-K filed on October 7, 2019)</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Restated Certificate of Incorporation (incorporated by reference to Exhibit 3.1 to the registrant’s Current Report on Form 8-K filed on November 6, 2023)</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Restated Certificate of Incorporation (incorporated by reference to Exhibit 3.2 to the registrant’s Current Report on Form 8-K filed on November 6, 2023)</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Restated Certificate of Incorporation (incorporated by reference to Exhibit 3.1 to the registrant’s Current Report on Form 8-K filed on June 12, 2024)</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(incorporated by reference to Exhibit 3.1 to the registrant’s Current Report on Form 8-K filed on September 23, 2020)</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ro-ex10_1.htm">
              <w:r>
                <w:rPr>
                  <w:rStyle w:val="InternetLink"/>
                  <w:rFonts w:ascii="Times New Roman" w:hAnsi="Times New Roman"/>
                  <w:color w:val="0000FF"/>
                  <w:sz w:val="20"/>
                  <w:u w:val="single"/>
                </w:rPr>
                <w:t>Korro Bio, Inc. 2026 Inducement Plan, and form of award agreements thereunder</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ro-ex10_2.htm">
              <w:r>
                <w:rPr>
                  <w:rStyle w:val="InternetLink"/>
                  <w:rFonts w:ascii="Times New Roman" w:hAnsi="Times New Roman"/>
                  <w:color w:val="0000FF"/>
                  <w:sz w:val="20"/>
                  <w:u w:val="single"/>
                </w:rPr>
                <w:t>Korro Bio, Inc. Amended and Restated Non-Employee Director Compensation Policy</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ro-ex10_3.htm">
              <w:r>
                <w:rPr>
                  <w:rStyle w:val="InternetLink"/>
                  <w:rFonts w:ascii="Times New Roman" w:hAnsi="Times New Roman"/>
                  <w:color w:val="0000FF"/>
                  <w:sz w:val="20"/>
                  <w:u w:val="single"/>
                </w:rPr>
                <w:t>Consulting Agreement between Korro Bio, Inc. and Rachel Meyers</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ro-ex31_1.htm">
              <w:r>
                <w:rPr>
                  <w:rStyle w:val="InternetLink"/>
                  <w:rFonts w:ascii="Times New Roman" w:hAnsi="Times New Roman"/>
                  <w:color w:val="000080"/>
                  <w:sz w:val="20"/>
                  <w:u w:val="single"/>
                </w:rPr>
                <w:t>Certification of Principal Executive Officer and Principal Financial Officer Pursuant to Rules 13a-14(a) and 15d-14(a) under the Securities Exchange Act</w:t>
              </w:r>
            </w:hyperlink>
            <w:hyperlink w:anchor="krro-ex31_1.htm">
              <w:r>
                <w:rPr>
                  <w:rStyle w:val="InternetLink"/>
                  <w:rFonts w:ascii="Times New Roman" w:hAnsi="Times New Roman"/>
                  <w:color w:val="000080"/>
                  <w:sz w:val="20"/>
                  <w:u w:val="single"/>
                </w:rPr>
                <w:t xml:space="preserve"> of 1934, as Adopted Pursuant to Section 302 of the Sarbanes-Oxley Act of 2002</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ro-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These certifications will not be deemed “filed” for purposes of Section 18 of the Exchange Act or otherwise subject to the liability of that section. Such certification will not be deemed to be incorporated by reference into any filing under the Securities Act or the Exchange Act except to the extent specifically incorporated by reference into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9082" w:type="dxa"/>
        <w:jc w:val="left"/>
        <w:tblInd w:w="0" w:type="dxa"/>
        <w:tblLayout w:type="fixed"/>
        <w:tblCellMar>
          <w:top w:w="28" w:type="dxa"/>
          <w:left w:w="28" w:type="dxa"/>
          <w:bottom w:w="28" w:type="dxa"/>
          <w:right w:w="28" w:type="dxa"/>
        </w:tblCellMar>
      </w:tblPr>
      <w:tblGrid>
        <w:gridCol w:w="1846"/>
        <w:gridCol w:w="109"/>
        <w:gridCol w:w="406"/>
        <w:gridCol w:w="672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Korro Bio,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7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Ram Aiyar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Ram Aiyar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 and Interim Principal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right"/>
        <w:rPr/>
      </w:pPr>
      <w:bookmarkStart w:id="21" w:name="krro-ex10_1.htm"/>
      <w:bookmarkStart w:id="22" w:name="kskrroex10_1"/>
      <w:bookmarkEnd w:id="21"/>
      <w:bookmarkEnd w:id="22"/>
      <w:r>
        <w:rPr/>
        <w:t> </w:t>
      </w:r>
      <w:r>
        <w:br w:type="page"/>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Exhibit 10.1</w:t>
      </w:r>
    </w:p>
    <w:p>
      <w:pPr>
        <w:pStyle w:val="TextBody"/>
        <w:bidi w:val="0"/>
        <w:spacing w:before="0" w:after="240"/>
        <w:jc w:val="center"/>
        <w:rPr>
          <w:rFonts w:ascii="Times New Roman" w:hAnsi="Times New Roman"/>
          <w:b/>
          <w:color w:val="000000"/>
          <w:sz w:val="28"/>
        </w:rPr>
      </w:pPr>
      <w:r>
        <w:rPr>
          <w:rFonts w:ascii="Times New Roman" w:hAnsi="Times New Roman"/>
          <w:b/>
          <w:color w:val="000000"/>
          <w:sz w:val="28"/>
        </w:rPr>
        <w:t>KORRO BIO, INC.</w:t>
      </w:r>
    </w:p>
    <w:p>
      <w:pPr>
        <w:pStyle w:val="TextBody"/>
        <w:bidi w:val="0"/>
        <w:spacing w:before="0" w:after="480"/>
        <w:jc w:val="center"/>
        <w:rPr>
          <w:rFonts w:ascii="Times New Roman" w:hAnsi="Times New Roman"/>
          <w:b/>
          <w:color w:val="000000"/>
          <w:sz w:val="28"/>
        </w:rPr>
      </w:pPr>
      <w:r>
        <w:rPr>
          <w:rFonts w:ascii="Times New Roman" w:hAnsi="Times New Roman"/>
          <w:b/>
          <w:color w:val="000000"/>
          <w:sz w:val="28"/>
        </w:rPr>
        <w:t>2026 INDUCEMENT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GENERAL PURPOSE OF THE PLAN; DEFINITIONS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name of the plan is the Korro Bio, Inc. 2026 Inducement Plan (as amended from time to time, the “Plan”). The purpose of the Plan is to enable Korro Bio, Inc. (the “Company”) and its Affiliates to grant equity awards to induce highly-qualified prospective officers and employees who are Eligible Employees to accept employment and to provide them with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The Company intends that the Plan be reserved for persons to whom the Company may issue securities without stockholder approval as an inducement pursuant to Rule 5635(c)(4) of the Marketplace Rules of The Nasdaq Stock Market LLC (“Nasdaq”).</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following terms shall be defined as set forth below:</w:t>
      </w:r>
    </w:p>
    <w:p>
      <w:pPr>
        <w:pStyle w:val="TextBody"/>
        <w:bidi w:val="0"/>
        <w:spacing w:before="0" w:after="240"/>
        <w:jc w:val="left"/>
        <w:rPr/>
      </w:pPr>
      <w:r>
        <w:rPr>
          <w:color w:val="000000"/>
        </w:rPr>
        <w:t>“</w:t>
      </w:r>
      <w:r>
        <w:rPr>
          <w:rFonts w:ascii="Times New Roman" w:hAnsi="Times New Roman"/>
          <w:i/>
          <w:color w:val="000000"/>
          <w:sz w:val="24"/>
        </w:rPr>
        <w:t>Act</w:t>
      </w:r>
      <w:r>
        <w:rPr>
          <w:rFonts w:ascii="Times New Roman" w:hAnsi="Times New Roman"/>
          <w:color w:val="000000"/>
          <w:sz w:val="20"/>
        </w:rPr>
        <w:t xml:space="preserve">” </w:t>
      </w:r>
      <w:r>
        <w:rPr>
          <w:rFonts w:ascii="Times New Roman" w:hAnsi="Times New Roman"/>
          <w:color w:val="000000"/>
          <w:sz w:val="24"/>
        </w:rPr>
        <w:t>means the U.S. Securities Act of 1933, as amended, and the rules and regulations thereunder.</w:t>
      </w:r>
    </w:p>
    <w:p>
      <w:pPr>
        <w:pStyle w:val="TextBody"/>
        <w:bidi w:val="0"/>
        <w:spacing w:before="0" w:after="240"/>
        <w:jc w:val="left"/>
        <w:rPr/>
      </w:pPr>
      <w:r>
        <w:rPr>
          <w:color w:val="000000"/>
        </w:rPr>
        <w:t>“</w:t>
      </w:r>
      <w:r>
        <w:rPr>
          <w:rFonts w:ascii="Times New Roman" w:hAnsi="Times New Roman"/>
          <w:i/>
          <w:color w:val="000000"/>
          <w:sz w:val="24"/>
        </w:rPr>
        <w:t>Administrator</w:t>
      </w:r>
      <w:r>
        <w:rPr>
          <w:rFonts w:ascii="Times New Roman" w:hAnsi="Times New Roman"/>
          <w:color w:val="000000"/>
          <w:sz w:val="20"/>
        </w:rPr>
        <w:t xml:space="preserve">” </w:t>
      </w:r>
      <w:r>
        <w:rPr>
          <w:rFonts w:ascii="Times New Roman" w:hAnsi="Times New Roman"/>
          <w:color w:val="000000"/>
          <w:sz w:val="24"/>
        </w:rPr>
        <w:t>means either the Board or the compensation committee of the Board or a similar committee performing the functions of the compensation committee and which is comprised of not less than two Non</w:t>
        <w:noBreakHyphen/>
        <w:t>Employee Directors who are independent.</w:t>
      </w:r>
    </w:p>
    <w:p>
      <w:pPr>
        <w:pStyle w:val="TextBody"/>
        <w:bidi w:val="0"/>
        <w:spacing w:before="0" w:after="240"/>
        <w:jc w:val="left"/>
        <w:rPr/>
      </w:pPr>
      <w:r>
        <w:rPr>
          <w:color w:val="000000"/>
        </w:rPr>
        <w:t>“</w:t>
      </w:r>
      <w:r>
        <w:rPr>
          <w:rFonts w:ascii="Times New Roman" w:hAnsi="Times New Roman"/>
          <w:i/>
          <w:color w:val="000000"/>
          <w:sz w:val="24"/>
        </w:rPr>
        <w:t>Affiliate</w:t>
      </w:r>
      <w:r>
        <w:rPr>
          <w:rFonts w:ascii="Times New Roman" w:hAnsi="Times New Roman"/>
          <w:color w:val="000000"/>
          <w:sz w:val="20"/>
        </w:rPr>
        <w:t xml:space="preserve">” </w:t>
      </w:r>
      <w:r>
        <w:rPr>
          <w:rFonts w:ascii="Times New Roman" w:hAnsi="Times New Roman"/>
          <w:color w:val="000000"/>
          <w:sz w:val="24"/>
        </w:rPr>
        <w:t>means, at the time of determination, any “parent” or “subsidiary” of the Company as such terms are defined in Rule 405 of the Act. The Board will have the authority to determine the time or times at which “parent” or “subsidiary” status is determined within the foregoing definition.</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i/>
          <w:color w:val="000000"/>
          <w:sz w:val="24"/>
        </w:rPr>
        <w:t>Award</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i/>
          <w:color w:val="000000"/>
          <w:sz w:val="24"/>
        </w:rPr>
        <w:t>Awards</w:t>
      </w:r>
      <w:r>
        <w:rPr>
          <w:rFonts w:ascii="Times New Roman" w:hAnsi="Times New Roman"/>
          <w:color w:val="000000"/>
          <w:sz w:val="24"/>
        </w:rPr>
        <w:t>,” except where referring to a particular category of grant under the Plan, shall include Stock Options, Stock Appreciation Rights, Restricted Stock Units, Restricted Stock Awards, Unrestricted Stock Awards, and Dividend Equivalent Rights.</w:t>
      </w:r>
    </w:p>
    <w:p>
      <w:pPr>
        <w:pStyle w:val="TextBody"/>
        <w:bidi w:val="0"/>
        <w:spacing w:before="0" w:after="240"/>
        <w:jc w:val="left"/>
        <w:rPr/>
      </w:pPr>
      <w:r>
        <w:rPr>
          <w:color w:val="000000"/>
        </w:rPr>
        <w:t>“</w:t>
      </w:r>
      <w:r>
        <w:rPr>
          <w:rFonts w:ascii="Times New Roman" w:hAnsi="Times New Roman"/>
          <w:i/>
          <w:color w:val="000000"/>
          <w:sz w:val="24"/>
        </w:rPr>
        <w:t>Award Agreement</w:t>
      </w:r>
      <w:r>
        <w:rPr>
          <w:rFonts w:ascii="Times New Roman" w:hAnsi="Times New Roman"/>
          <w:color w:val="000000"/>
          <w:sz w:val="20"/>
        </w:rPr>
        <w:t xml:space="preserve">” </w:t>
      </w:r>
      <w:r>
        <w:rPr>
          <w:rFonts w:ascii="Times New Roman" w:hAnsi="Times New Roman"/>
          <w:color w:val="000000"/>
          <w:sz w:val="24"/>
        </w:rPr>
        <w:t>means a written or electronic document setting forth the terms and provisions applicable to an Award granted under the Plan. Each Award Agreement is subject to the terms and conditions of the Plan.</w:t>
      </w:r>
    </w:p>
    <w:p>
      <w:pPr>
        <w:pStyle w:val="TextBody"/>
        <w:bidi w:val="0"/>
        <w:spacing w:before="0" w:after="240"/>
        <w:jc w:val="left"/>
        <w:rPr/>
      </w:pPr>
      <w:r>
        <w:rPr>
          <w:color w:val="000000"/>
        </w:rPr>
        <w:t>“</w:t>
      </w:r>
      <w:r>
        <w:rPr>
          <w:rFonts w:ascii="Times New Roman" w:hAnsi="Times New Roman"/>
          <w:i/>
          <w:color w:val="000000"/>
          <w:sz w:val="24"/>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left"/>
        <w:rPr/>
      </w:pPr>
      <w:r>
        <w:rPr>
          <w:color w:val="000000"/>
        </w:rPr>
        <w:t>“</w:t>
      </w:r>
      <w:r>
        <w:rPr>
          <w:rFonts w:ascii="Times New Roman" w:hAnsi="Times New Roman"/>
          <w:i/>
          <w:color w:val="000000"/>
          <w:sz w:val="24"/>
        </w:rPr>
        <w:t>Code</w:t>
      </w:r>
      <w:r>
        <w:rPr>
          <w:rFonts w:ascii="Times New Roman" w:hAnsi="Times New Roman"/>
          <w:color w:val="000000"/>
          <w:sz w:val="20"/>
        </w:rPr>
        <w:t xml:space="preserve">” </w:t>
      </w:r>
      <w:r>
        <w:rPr>
          <w:rFonts w:ascii="Times New Roman" w:hAnsi="Times New Roman"/>
          <w:color w:val="000000"/>
          <w:sz w:val="24"/>
        </w:rPr>
        <w:t>means the U.S. Internal Revenue Code of 1986, as amended, and any successor Code, and related rules, regulations and interpretations.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i/>
          <w:color w:val="000000"/>
          <w:sz w:val="24"/>
        </w:rPr>
        <w:t>Consultant</w:t>
      </w:r>
      <w:r>
        <w:rPr>
          <w:rFonts w:ascii="Times New Roman" w:hAnsi="Times New Roman"/>
          <w:color w:val="000000"/>
          <w:sz w:val="20"/>
        </w:rPr>
        <w:t xml:space="preserve">” </w:t>
      </w:r>
      <w:r>
        <w:rPr>
          <w:rFonts w:ascii="Times New Roman" w:hAnsi="Times New Roman"/>
          <w:color w:val="000000"/>
          <w:sz w:val="24"/>
        </w:rPr>
        <w:t>means a consultant or adviser who provides bona fide services to the Company or an Affiliate as an independent contractor and who qualifies as a consultant or advisor under Instruction A.1.(a)(1) of Form S-8 under the Act.</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i/>
          <w:color w:val="000000"/>
          <w:sz w:val="24"/>
        </w:rPr>
        <w:t>Dividend Equivalent Right</w:t>
      </w:r>
      <w:r>
        <w:rPr>
          <w:rFonts w:ascii="Times New Roman" w:hAnsi="Times New Roman"/>
          <w:color w:val="000000"/>
          <w:sz w:val="20"/>
        </w:rPr>
        <w:t xml:space="preserve">” </w:t>
      </w:r>
      <w:r>
        <w:rPr>
          <w:rFonts w:ascii="Times New Roman" w:hAnsi="Times New Roman"/>
          <w:color w:val="000000"/>
          <w:sz w:val="24"/>
        </w:rPr>
        <w:t>means an Award entitling the grantee to receive credits based on ordinary cash dividends that would have been paid on the shares of Stock specified in the Dividend Equivalent Right (or other award to which it relates) if such shares had been issued to and held by the grantee.</w:t>
      </w:r>
    </w:p>
    <w:p>
      <w:pPr>
        <w:pStyle w:val="TextBody"/>
        <w:bidi w:val="0"/>
        <w:spacing w:before="0" w:after="240"/>
        <w:jc w:val="left"/>
        <w:rPr/>
      </w:pPr>
      <w:r>
        <w:rPr>
          <w:color w:val="000000"/>
        </w:rPr>
        <w:t>“</w:t>
      </w:r>
      <w:r>
        <w:rPr>
          <w:rFonts w:ascii="Times New Roman" w:hAnsi="Times New Roman"/>
          <w:i/>
          <w:color w:val="000000"/>
          <w:sz w:val="24"/>
        </w:rPr>
        <w:t>Effective Date</w:t>
      </w:r>
      <w:r>
        <w:rPr>
          <w:rFonts w:ascii="Times New Roman" w:hAnsi="Times New Roman"/>
          <w:color w:val="000000"/>
          <w:sz w:val="20"/>
        </w:rPr>
        <w:t xml:space="preserve">” </w:t>
      </w:r>
      <w:r>
        <w:rPr>
          <w:rFonts w:ascii="Times New Roman" w:hAnsi="Times New Roman"/>
          <w:color w:val="000000"/>
          <w:sz w:val="24"/>
        </w:rPr>
        <w:t>means the date on which the Plan becomes effective as set forth in Section 18.</w:t>
      </w:r>
    </w:p>
    <w:p>
      <w:pPr>
        <w:pStyle w:val="TextBody"/>
        <w:bidi w:val="0"/>
        <w:spacing w:before="0" w:after="240"/>
        <w:jc w:val="left"/>
        <w:rPr/>
      </w:pPr>
      <w:r>
        <w:rPr>
          <w:color w:val="000000"/>
        </w:rPr>
        <w:t>“</w:t>
      </w:r>
      <w:r>
        <w:rPr>
          <w:rFonts w:ascii="Times New Roman" w:hAnsi="Times New Roman"/>
          <w:i/>
          <w:color w:val="000000"/>
          <w:sz w:val="24"/>
        </w:rPr>
        <w:t xml:space="preserve">Eligible Employee” </w:t>
      </w:r>
      <w:r>
        <w:rPr>
          <w:rFonts w:ascii="Times New Roman" w:hAnsi="Times New Roman"/>
          <w:color w:val="000000"/>
          <w:sz w:val="24"/>
        </w:rPr>
        <w:t>means any individual who was not previously an employee or a Non-Employee Director of the Company or any of its Affiliates (or who has had a bona fide period of non-employment with the Company and its Affiliates), who is hired as a full or part-time employee by the Company or one of its Affiliates, and for whom the Award is being made as an inducement material to the individual’s entering into such employment.</w:t>
      </w:r>
    </w:p>
    <w:p>
      <w:pPr>
        <w:pStyle w:val="TextBody"/>
        <w:bidi w:val="0"/>
        <w:spacing w:before="0" w:after="240"/>
        <w:jc w:val="left"/>
        <w:rPr/>
      </w:pPr>
      <w:r>
        <w:rPr>
          <w:color w:val="000000"/>
        </w:rPr>
        <w:t>“</w:t>
      </w:r>
      <w:r>
        <w:rPr>
          <w:rFonts w:ascii="Times New Roman" w:hAnsi="Times New Roman"/>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U.S. Securities Exchange Act of 1934, as amended, and the rules and regulations thereunder.</w:t>
      </w:r>
    </w:p>
    <w:p>
      <w:pPr>
        <w:pStyle w:val="TextBody"/>
        <w:bidi w:val="0"/>
        <w:spacing w:before="0" w:after="240"/>
        <w:jc w:val="left"/>
        <w:rPr/>
      </w:pPr>
      <w:r>
        <w:rPr>
          <w:color w:val="000000"/>
        </w:rPr>
        <w:t>“</w:t>
      </w:r>
      <w:r>
        <w:rPr>
          <w:rFonts w:ascii="Times New Roman" w:hAnsi="Times New Roman"/>
          <w:i/>
          <w:color w:val="000000"/>
          <w:sz w:val="24"/>
        </w:rPr>
        <w:t>Fair Market Value</w:t>
      </w:r>
      <w:r>
        <w:rPr>
          <w:rFonts w:ascii="Times New Roman" w:hAnsi="Times New Roman"/>
          <w:color w:val="000000"/>
          <w:sz w:val="20"/>
        </w:rPr>
        <w:t xml:space="preserve">” </w:t>
      </w:r>
      <w:r>
        <w:rPr>
          <w:rFonts w:ascii="Times New Roman" w:hAnsi="Times New Roman"/>
          <w:color w:val="000000"/>
          <w:sz w:val="24"/>
        </w:rPr>
        <w:t>of the Stock on any given date means the fair market value of the Stock determined in good faith by the Administrator; provided, however, that if the Stock is listed on the Nasdaq Capital Market (or other Nasdaq market tier),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w:t>
      </w:r>
    </w:p>
    <w:p>
      <w:pPr>
        <w:pStyle w:val="TextBody"/>
        <w:bidi w:val="0"/>
        <w:spacing w:before="0" w:after="240"/>
        <w:jc w:val="left"/>
        <w:rPr/>
      </w:pPr>
      <w:r>
        <w:rPr>
          <w:color w:val="000000"/>
        </w:rPr>
        <w:t>“</w:t>
      </w:r>
      <w:r>
        <w:rPr>
          <w:rFonts w:ascii="Times New Roman" w:hAnsi="Times New Roman"/>
          <w:i/>
          <w:color w:val="000000"/>
          <w:sz w:val="24"/>
        </w:rPr>
        <w:t>Non-Employee Director</w:t>
      </w:r>
      <w:r>
        <w:rPr>
          <w:rFonts w:ascii="Times New Roman" w:hAnsi="Times New Roman"/>
          <w:color w:val="000000"/>
          <w:sz w:val="20"/>
        </w:rPr>
        <w:t xml:space="preserve">” </w:t>
      </w:r>
      <w:r>
        <w:rPr>
          <w:rFonts w:ascii="Times New Roman" w:hAnsi="Times New Roman"/>
          <w:color w:val="000000"/>
          <w:sz w:val="24"/>
        </w:rPr>
        <w:t>means a member of the Board who is not also an employee of the Company or any Subsidiary.</w:t>
      </w:r>
    </w:p>
    <w:p>
      <w:pPr>
        <w:pStyle w:val="TextBody"/>
        <w:bidi w:val="0"/>
        <w:spacing w:before="0" w:after="240"/>
        <w:jc w:val="left"/>
        <w:rPr/>
      </w:pPr>
      <w:r>
        <w:rPr>
          <w:color w:val="000000"/>
        </w:rPr>
        <w:t>“</w:t>
      </w:r>
      <w:r>
        <w:rPr>
          <w:rFonts w:ascii="Times New Roman" w:hAnsi="Times New Roman"/>
          <w:i/>
          <w:color w:val="000000"/>
          <w:sz w:val="24"/>
        </w:rPr>
        <w:t>Option</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i/>
          <w:color w:val="000000"/>
          <w:sz w:val="24"/>
        </w:rPr>
        <w:t>Stock Option</w:t>
      </w:r>
      <w:r>
        <w:rPr>
          <w:rFonts w:ascii="Times New Roman" w:hAnsi="Times New Roman"/>
          <w:color w:val="000000"/>
          <w:sz w:val="20"/>
        </w:rPr>
        <w:t xml:space="preserve">” </w:t>
      </w:r>
      <w:r>
        <w:rPr>
          <w:rFonts w:ascii="Times New Roman" w:hAnsi="Times New Roman"/>
          <w:color w:val="000000"/>
          <w:sz w:val="24"/>
        </w:rPr>
        <w:t>means any option to purchase shares of Stock granted pursuant to Section 5.</w:t>
      </w:r>
    </w:p>
    <w:p>
      <w:pPr>
        <w:pStyle w:val="TextBody"/>
        <w:bidi w:val="0"/>
        <w:spacing w:before="0" w:after="240"/>
        <w:jc w:val="left"/>
        <w:rPr/>
      </w:pPr>
      <w:r>
        <w:rPr>
          <w:color w:val="000000"/>
        </w:rPr>
        <w:t>“</w:t>
      </w:r>
      <w:r>
        <w:rPr>
          <w:rFonts w:ascii="Times New Roman" w:hAnsi="Times New Roman"/>
          <w:i/>
          <w:color w:val="000000"/>
          <w:sz w:val="24"/>
        </w:rPr>
        <w:t>Restricted Shares</w:t>
      </w:r>
      <w:r>
        <w:rPr>
          <w:rFonts w:ascii="Times New Roman" w:hAnsi="Times New Roman"/>
          <w:color w:val="000000"/>
          <w:sz w:val="20"/>
        </w:rPr>
        <w:t xml:space="preserve">” </w:t>
      </w:r>
      <w:r>
        <w:rPr>
          <w:rFonts w:ascii="Times New Roman" w:hAnsi="Times New Roman"/>
          <w:color w:val="000000"/>
          <w:sz w:val="24"/>
        </w:rPr>
        <w:t>means the shares of Stock underlying a Restricted Stock Award that remain subject to a risk of forfeiture or the Company’s right of repurchase.</w:t>
      </w:r>
    </w:p>
    <w:p>
      <w:pPr>
        <w:pStyle w:val="TextBody"/>
        <w:bidi w:val="0"/>
        <w:spacing w:before="0" w:after="240"/>
        <w:jc w:val="left"/>
        <w:rPr/>
      </w:pPr>
      <w:r>
        <w:rPr>
          <w:color w:val="000000"/>
        </w:rPr>
        <w:t>“</w:t>
      </w:r>
      <w:r>
        <w:rPr>
          <w:rFonts w:ascii="Times New Roman" w:hAnsi="Times New Roman"/>
          <w:i/>
          <w:color w:val="000000"/>
          <w:sz w:val="24"/>
        </w:rPr>
        <w:t>Restricted Stock Award</w:t>
      </w:r>
      <w:r>
        <w:rPr>
          <w:rFonts w:ascii="Times New Roman" w:hAnsi="Times New Roman"/>
          <w:color w:val="000000"/>
          <w:sz w:val="20"/>
        </w:rPr>
        <w:t xml:space="preserve">” </w:t>
      </w:r>
      <w:r>
        <w:rPr>
          <w:rFonts w:ascii="Times New Roman" w:hAnsi="Times New Roman"/>
          <w:color w:val="000000"/>
          <w:sz w:val="24"/>
        </w:rPr>
        <w:t>means an Award of Restricted Shares subject to such restrictions and conditions as the Administrator may determine at the time of grant.</w:t>
      </w:r>
    </w:p>
    <w:p>
      <w:pPr>
        <w:pStyle w:val="TextBody"/>
        <w:bidi w:val="0"/>
        <w:spacing w:before="0" w:after="240"/>
        <w:jc w:val="left"/>
        <w:rPr/>
      </w:pPr>
      <w:r>
        <w:rPr>
          <w:color w:val="000000"/>
        </w:rPr>
        <w:t>“</w:t>
      </w:r>
      <w:r>
        <w:rPr>
          <w:rFonts w:ascii="Times New Roman" w:hAnsi="Times New Roman"/>
          <w:i/>
          <w:color w:val="000000"/>
          <w:sz w:val="24"/>
        </w:rPr>
        <w:t>Restricted Stock Units</w:t>
      </w:r>
      <w:r>
        <w:rPr>
          <w:rFonts w:ascii="Times New Roman" w:hAnsi="Times New Roman"/>
          <w:color w:val="000000"/>
          <w:sz w:val="20"/>
        </w:rPr>
        <w:t xml:space="preserve">” </w:t>
      </w:r>
      <w:r>
        <w:rPr>
          <w:rFonts w:ascii="Times New Roman" w:hAnsi="Times New Roman"/>
          <w:color w:val="000000"/>
          <w:sz w:val="24"/>
        </w:rPr>
        <w:t>means an Award of stock units subject to such restrictions and conditions as the Administrator may determine at the time of grant.</w:t>
      </w:r>
    </w:p>
    <w:p>
      <w:pPr>
        <w:pStyle w:val="TextBody"/>
        <w:bidi w:val="0"/>
        <w:spacing w:before="0" w:after="240"/>
        <w:jc w:val="left"/>
        <w:rPr/>
      </w:pPr>
      <w:r>
        <w:rPr>
          <w:color w:val="000000"/>
        </w:rPr>
        <w:t>“</w:t>
      </w:r>
      <w:r>
        <w:rPr>
          <w:rFonts w:ascii="Times New Roman" w:hAnsi="Times New Roman"/>
          <w:i/>
          <w:color w:val="000000"/>
          <w:sz w:val="24"/>
        </w:rPr>
        <w:t>Sale Event</w:t>
      </w:r>
      <w:r>
        <w:rPr>
          <w:rFonts w:ascii="Times New Roman" w:hAnsi="Times New Roman"/>
          <w:color w:val="000000"/>
          <w:sz w:val="20"/>
        </w:rPr>
        <w:t xml:space="preserve">” </w:t>
      </w:r>
      <w:r>
        <w:rPr>
          <w:rFonts w:ascii="Times New Roman" w:hAnsi="Times New Roman"/>
          <w:color w:val="000000"/>
          <w:sz w:val="24"/>
        </w:rPr>
        <w:t>shall mean (i) the sale of all or substantially all of the assets of the Company on a consolidated basis to an unrelated person or entity, (ii) a merger, reorganization, statutory share exchange, consolidation, or similar transaction pursuant to which the holders of the Company’s outstanding voting power and outstanding stock immediately prior to such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 Notwithstanding anything in the foregoing to the contrary, with respect to compensation (A) that is subject to Section 409A of the Code and (B) for which a Sale Event would accelerate the timing of payment thereunder, the term “Sale Event” shall mean an event that is both (I) a Sale Event (as defined above) and (II) a “change in control event” (within the meaning of Section 409A of the Code).</w:t>
      </w:r>
    </w:p>
    <w:p>
      <w:pPr>
        <w:pStyle w:val="TextBody"/>
        <w:bidi w:val="0"/>
        <w:spacing w:before="0" w:after="240"/>
        <w:jc w:val="left"/>
        <w:rPr/>
      </w:pPr>
      <w:r>
        <w:rPr>
          <w:color w:val="000000"/>
        </w:rPr>
        <w:t>“</w:t>
      </w:r>
      <w:r>
        <w:rPr>
          <w:rFonts w:ascii="Times New Roman" w:hAnsi="Times New Roman"/>
          <w:i/>
          <w:color w:val="000000"/>
          <w:sz w:val="24"/>
        </w:rPr>
        <w:t>Sale Price</w:t>
      </w:r>
      <w:r>
        <w:rPr>
          <w:rFonts w:ascii="Times New Roman" w:hAnsi="Times New Roman"/>
          <w:color w:val="000000"/>
          <w:sz w:val="20"/>
        </w:rPr>
        <w:t xml:space="preserve">” </w:t>
      </w:r>
      <w:r>
        <w:rPr>
          <w:rFonts w:ascii="Times New Roman" w:hAnsi="Times New Roman"/>
          <w:color w:val="000000"/>
          <w:sz w:val="24"/>
        </w:rPr>
        <w:t>means the value as determined by the Administrator of the consideration payable, or otherwise to be received by stockholders, per share of Stock pursuant to a Sale Event.</w:t>
      </w:r>
    </w:p>
    <w:p>
      <w:pPr>
        <w:pStyle w:val="TextBody"/>
        <w:bidi w:val="0"/>
        <w:spacing w:before="0" w:after="240"/>
        <w:jc w:val="left"/>
        <w:rPr/>
      </w:pPr>
      <w:r>
        <w:rPr>
          <w:color w:val="000000"/>
        </w:rPr>
        <w:t>“</w:t>
      </w:r>
      <w:r>
        <w:rPr>
          <w:rFonts w:ascii="Times New Roman" w:hAnsi="Times New Roman"/>
          <w:i/>
          <w:color w:val="000000"/>
          <w:sz w:val="24"/>
        </w:rPr>
        <w:t>Section 409A</w:t>
      </w:r>
      <w:r>
        <w:rPr>
          <w:rFonts w:ascii="Times New Roman" w:hAnsi="Times New Roman"/>
          <w:color w:val="000000"/>
          <w:sz w:val="20"/>
        </w:rPr>
        <w:t xml:space="preserve">” </w:t>
      </w:r>
      <w:r>
        <w:rPr>
          <w:rFonts w:ascii="Times New Roman" w:hAnsi="Times New Roman"/>
          <w:color w:val="000000"/>
          <w:sz w:val="24"/>
        </w:rPr>
        <w:t>means Section 409A of the Code and the regulations and other guidance promulgated thereunder.</w:t>
      </w:r>
    </w:p>
    <w:p>
      <w:pPr>
        <w:pStyle w:val="TextBody"/>
        <w:bidi w:val="0"/>
        <w:spacing w:before="0" w:after="240"/>
        <w:jc w:val="left"/>
        <w:rPr/>
      </w:pPr>
      <w:r>
        <w:rPr>
          <w:color w:val="000000"/>
        </w:rPr>
        <w:t>“</w:t>
      </w:r>
      <w:r>
        <w:rPr>
          <w:rFonts w:ascii="Times New Roman" w:hAnsi="Times New Roman"/>
          <w:i/>
          <w:color w:val="000000"/>
          <w:sz w:val="24"/>
        </w:rPr>
        <w:t>Service Relationship</w:t>
      </w:r>
      <w:r>
        <w:rPr>
          <w:rFonts w:ascii="Times New Roman" w:hAnsi="Times New Roman"/>
          <w:color w:val="000000"/>
          <w:sz w:val="20"/>
        </w:rPr>
        <w:t xml:space="preserve">” </w:t>
      </w:r>
      <w:r>
        <w:rPr>
          <w:rFonts w:ascii="Times New Roman" w:hAnsi="Times New Roman"/>
          <w:color w:val="000000"/>
          <w:sz w:val="24"/>
        </w:rPr>
        <w:t>means any relationship as an employee, Non-Employee Director or Consultant of the Company or any Affiliate. Unless as otherwise set forth in the Award Agreement, a Service Relationship shall be deemed to continue without interruption in the event a grantee’s status changes from full-time employee to part-time employee or a grantee’s status changes from employee to Consultant or Non-Employee Director, provided that there is no interruption or other termination of Service Relationship in connection with the grantee’s change in capacity.</w:t>
      </w:r>
    </w:p>
    <w:p>
      <w:pPr>
        <w:pStyle w:val="TextBody"/>
        <w:bidi w:val="0"/>
        <w:spacing w:before="0" w:after="240"/>
        <w:jc w:val="left"/>
        <w:rPr/>
      </w:pPr>
      <w:r>
        <w:rPr>
          <w:color w:val="000000"/>
        </w:rPr>
        <w:t>“</w:t>
      </w:r>
      <w:r>
        <w:rPr>
          <w:rFonts w:ascii="Times New Roman" w:hAnsi="Times New Roman"/>
          <w:i/>
          <w:color w:val="000000"/>
          <w:sz w:val="24"/>
        </w:rPr>
        <w:t>Stock</w:t>
      </w:r>
      <w:r>
        <w:rPr>
          <w:rFonts w:ascii="Times New Roman" w:hAnsi="Times New Roman"/>
          <w:color w:val="000000"/>
          <w:sz w:val="20"/>
        </w:rPr>
        <w:t xml:space="preserve">” </w:t>
      </w:r>
      <w:r>
        <w:rPr>
          <w:rFonts w:ascii="Times New Roman" w:hAnsi="Times New Roman"/>
          <w:color w:val="000000"/>
          <w:sz w:val="24"/>
        </w:rPr>
        <w:t>means the Common Stock, par value $0.001 per share, of the Company, subject to adjustments pursuant to Section 3.</w:t>
      </w:r>
    </w:p>
    <w:p>
      <w:pPr>
        <w:pStyle w:val="TextBody"/>
        <w:bidi w:val="0"/>
        <w:spacing w:before="0" w:after="240"/>
        <w:jc w:val="left"/>
        <w:rPr/>
      </w:pPr>
      <w:r>
        <w:rPr>
          <w:color w:val="000000"/>
        </w:rPr>
        <w:t>“</w:t>
      </w:r>
      <w:r>
        <w:rPr>
          <w:rFonts w:ascii="Times New Roman" w:hAnsi="Times New Roman"/>
          <w:i/>
          <w:color w:val="000000"/>
          <w:sz w:val="24"/>
        </w:rPr>
        <w:t>Stock Appreciation Right</w:t>
      </w:r>
      <w:r>
        <w:rPr>
          <w:rFonts w:ascii="Times New Roman" w:hAnsi="Times New Roman"/>
          <w:color w:val="000000"/>
          <w:sz w:val="20"/>
        </w:rPr>
        <w:t xml:space="preserve">” </w:t>
      </w:r>
      <w:r>
        <w:rPr>
          <w:rFonts w:ascii="Times New Roman" w:hAnsi="Times New Roman"/>
          <w:color w:val="000000"/>
          <w:sz w:val="24"/>
        </w:rPr>
        <w:t>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pStyle w:val="TextBody"/>
        <w:bidi w:val="0"/>
        <w:spacing w:before="0" w:after="240"/>
        <w:jc w:val="left"/>
        <w:rPr/>
      </w:pPr>
      <w:r>
        <w:rPr>
          <w:color w:val="000000"/>
        </w:rPr>
        <w:t>“</w:t>
      </w:r>
      <w:r>
        <w:rPr>
          <w:rFonts w:ascii="Times New Roman" w:hAnsi="Times New Roman"/>
          <w:i/>
          <w:color w:val="000000"/>
          <w:sz w:val="24"/>
        </w:rPr>
        <w:t>Subsidiary</w:t>
      </w:r>
      <w:r>
        <w:rPr>
          <w:rFonts w:ascii="Times New Roman" w:hAnsi="Times New Roman"/>
          <w:color w:val="000000"/>
          <w:sz w:val="20"/>
        </w:rPr>
        <w:t xml:space="preserve">” </w:t>
      </w:r>
      <w:r>
        <w:rPr>
          <w:rFonts w:ascii="Times New Roman" w:hAnsi="Times New Roman"/>
          <w:color w:val="000000"/>
          <w:sz w:val="24"/>
        </w:rPr>
        <w:t>means any corporation or other entity (other than the Company) in which the Company has at least a 50 percent interest, either directly or indirectly.</w:t>
      </w:r>
    </w:p>
    <w:p>
      <w:pPr>
        <w:pStyle w:val="TextBody"/>
        <w:bidi w:val="0"/>
        <w:spacing w:before="0" w:after="240"/>
        <w:jc w:val="left"/>
        <w:rPr/>
      </w:pPr>
      <w:r>
        <w:rPr>
          <w:color w:val="000000"/>
        </w:rPr>
        <w:t>“</w:t>
      </w:r>
      <w:r>
        <w:rPr>
          <w:rFonts w:ascii="Times New Roman" w:hAnsi="Times New Roman"/>
          <w:i/>
          <w:color w:val="000000"/>
          <w:sz w:val="24"/>
        </w:rPr>
        <w:t>Unrestricted Stock Award</w:t>
      </w:r>
      <w:r>
        <w:rPr>
          <w:rFonts w:ascii="Times New Roman" w:hAnsi="Times New Roman"/>
          <w:color w:val="000000"/>
          <w:sz w:val="20"/>
        </w:rPr>
        <w:t xml:space="preserve">” </w:t>
      </w:r>
      <w:r>
        <w:rPr>
          <w:rFonts w:ascii="Times New Roman" w:hAnsi="Times New Roman"/>
          <w:color w:val="000000"/>
          <w:sz w:val="24"/>
        </w:rPr>
        <w:t>means an Award of shares of Stock free of any restrictions.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2.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ADMINISTRATION OF PLAN; ADMINISTRATOR AUTHORITY TO SELECT GRANTEES AND DETERMINE AWARDS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Administration of Plan</w:t>
      </w:r>
      <w:r>
        <w:rPr>
          <w:rFonts w:ascii="Times New Roman" w:hAnsi="Times New Roman"/>
          <w:color w:val="000000"/>
          <w:sz w:val="24"/>
        </w:rPr>
        <w:t>. The Plan shall be administered by the Administrator.</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Powers of Administrator</w:t>
      </w:r>
      <w:r>
        <w:rPr>
          <w:rFonts w:ascii="Times New Roman" w:hAnsi="Times New Roman"/>
          <w:color w:val="000000"/>
          <w:sz w:val="24"/>
        </w:rPr>
        <w:t>. The Administrator shall have the power and authority to grant Awards consistent with the terms of the Plan, including the power and authority: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select the individuals to whom Awards may from time to time be granted, provided, such individuals are Eligible Employees;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determine the time or times of grant, and the extent, if any, of Stock Options, Stock Appreciation Rights, Restricted Stock Awards, Restricted Stock Units, Unrestricted Stock Awards, and Dividend Equivalent Rights, or any combination of the foregoing, granted to any one or more grantees;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determine the number of shares of Stock to be covered by any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accelerate at any time the exercisability or vesting of all or any portion of any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subject to the provisions of Section 5(c) or 6(d), to extend at any time the period in which Stock Options or Stock Appreciation Rights, respectively, may be exercised;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decisions and interpretations of the Administrator shall be binding on all persons, including the Company and Plan grantees.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Award Agreement</w:t>
      </w:r>
      <w:r>
        <w:rPr>
          <w:rFonts w:ascii="Times New Roman" w:hAnsi="Times New Roman"/>
          <w:color w:val="000000"/>
          <w:sz w:val="24"/>
        </w:rPr>
        <w:t>. Awards under the Plan shall be evidenced by Award Agreements that set forth the terms, conditions and limitations for each Award which may include, without limitation, the term of an Award and the provisions applicable in the event the Service Relationship terminates.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Indemnification</w:t>
      </w:r>
      <w:r>
        <w:rPr>
          <w:rFonts w:ascii="Times New Roman" w:hAnsi="Times New Roman"/>
          <w:color w:val="000000"/>
          <w:sz w:val="24"/>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Non-U.S. Award Recipients</w:t>
      </w:r>
      <w:r>
        <w:rPr>
          <w:rFonts w:ascii="Times New Roman" w:hAnsi="Times New Roman"/>
          <w:color w:val="000000"/>
          <w:sz w:val="24"/>
        </w:rPr>
        <w:t>. Notwithstanding any provision of the Plan to the contrary, in order to comply with the laws in other countries in which the Company and its Affiliates operate or have employees eligible for Awards, the Administrator, in its sole discretion, shall have the power and authority to: (i) determine which Affiliates shall be covered by the Plan; (ii) determine which Eligible Employees outside the United States are eligible to participate in the Plan; (iii) modify the terms and conditions of any Award granted to individuals outside the United States to comply with applicable laws; (iv) establish subplans and modify exercise procedures and other terms and procedures, to the extent the Administrator determines such actions to be necessary or advisable (and such subplans and/or modifications shall be incorporated into and made part of this Plan) and subject to Nasdaq Listing Rule 5635(c)(4) and related guidelines and interpretations; provided, however, that no such subplans and/or modifications shall increase the share limitation contained in Section 3(a) hereof; and (v) take any action, before or after</w:t>
      </w:r>
      <w:r>
        <w:rPr>
          <w:color w:val="000000"/>
        </w:rPr>
        <w:t xml:space="preserve"> </w:t>
      </w:r>
      <w:r>
        <w:rPr>
          <w:rFonts w:ascii="Times New Roman" w:hAnsi="Times New Roman"/>
          <w:color w:val="000000"/>
          <w:sz w:val="24"/>
        </w:rPr>
        <w:t>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or Nasdaq Listing Rule 5635(c).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3.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STOCK ISSUABLE UNDER THE PLAN; MERGERS; SUBSTITUTION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Stock Issuable</w:t>
      </w:r>
      <w:r>
        <w:rPr>
          <w:rFonts w:ascii="Times New Roman" w:hAnsi="Times New Roman"/>
          <w:color w:val="000000"/>
          <w:sz w:val="24"/>
        </w:rPr>
        <w:t>. The maximum number of shares of Stock reserved and available for issuance under the Plan shall be 100,000 shares, subject in all cases to adjustment as provided in Section 3(b). For purposes of this Plan,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or settlement)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 shares of Stock may be issued up to such maximum number pursuant to any type or types of Award.</w:t>
      </w:r>
      <w:r>
        <w:rPr>
          <w:color w:val="000000"/>
        </w:rPr>
        <w:t xml:space="preserve"> </w:t>
      </w:r>
      <w:r>
        <w:rPr>
          <w:rFonts w:ascii="Times New Roman" w:hAnsi="Times New Roman"/>
          <w:color w:val="000000"/>
          <w:sz w:val="24"/>
        </w:rPr>
        <w:t>The shares available for issuance under the Plan may be authorized but unissued shares of Stock or shares of Stock reacquired by the Company. Awards that may be settled solely in cash shall not be counted against the share reserve, nor shall they reduce the shares of Stock authorized for grant to a grantee in any calendar year.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Changes in Stock</w:t>
      </w:r>
      <w:r>
        <w:rPr>
          <w:rFonts w:ascii="Times New Roman" w:hAnsi="Times New Roman"/>
          <w:color w:val="000000"/>
          <w:sz w:val="24"/>
        </w:rPr>
        <w:t xml:space="preserve">.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(ii) the number and kind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Mergers and Other Transactions</w:t>
      </w:r>
      <w:r>
        <w:rPr>
          <w:rFonts w:ascii="Times New Roman" w:hAnsi="Times New Roman"/>
          <w:color w:val="000000"/>
          <w:sz w:val="24"/>
        </w:rPr>
        <w:t xml:space="preserv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that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(i) not vested and/or exercisable immediately prior to the effective time of the Sale Event and (ii) held by grantees who have had a continuous Service Relationship with the Company or any of its Affiliates for at least one year prior to the effective time of the Sale Event shall become fully vested and exercisable as of the effective time of the Sale Event, all other Awards held by grantees (A) who have had a continuous Service Relationship with the Company or any of its Affiliates for at least one year prior to the effective time of the Sale Event and (B) that are subject solely to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holding other Awards in an amount equal to the Sale Price multiplied by the number of vested shares of Stock under such Awards.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4.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ELIGIBILITY</w:t>
      </w:r>
    </w:p>
    <w:p>
      <w:pPr>
        <w:pStyle w:val="TextBody"/>
        <w:bidi w:val="0"/>
        <w:spacing w:before="0" w:after="240"/>
        <w:jc w:val="left"/>
        <w:rPr>
          <w:rFonts w:ascii="Times New Roman" w:hAnsi="Times New Roman"/>
          <w:sz w:val="20"/>
        </w:rPr>
      </w:pPr>
      <w:r>
        <w:rPr>
          <w:rFonts w:ascii="Times New Roman" w:hAnsi="Times New Roman"/>
          <w:color w:val="000000"/>
          <w:sz w:val="24"/>
        </w:rPr>
        <w:t>Grantees under the Plan will be such Eligible Employees to whom the Company may issue securities without stockholder approval in accordance with Rules 5635(c)(4) of the Marketplace Rules of The Nasdaq Stock Market LLC as are selected from time to time by the Administrator in its sole discretion.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5.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STOCK OPTIONS</w:t>
      </w:r>
    </w:p>
    <w:p>
      <w:pPr>
        <w:pStyle w:val="Heading2"/>
        <w:bidi w:val="0"/>
        <w:spacing w:before="0" w:after="240"/>
        <w:jc w:val="left"/>
        <w:rPr>
          <w:rFonts w:ascii="Times New Roman" w:hAnsi="Times New Roman"/>
          <w:sz w:val="20"/>
        </w:rPr>
      </w:pPr>
      <w:r>
        <w:rPr>
          <w:rFonts w:ascii="Times New Roman" w:hAnsi="Times New Roman"/>
          <w:b w:val="false"/>
          <w:color w:val="000000"/>
          <w:sz w:val="24"/>
        </w:rPr>
        <w:t>Stock Options granted pursuant to this Section 5 shall be subject to the following terms and conditions and shall contain such additional terms and conditions, not inconsistent with the terms of the Plan, as the Administrator shall deem desirable.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Award of Stock Options</w:t>
      </w:r>
      <w:r>
        <w:rPr>
          <w:rFonts w:ascii="Times New Roman" w:hAnsi="Times New Roman"/>
          <w:color w:val="000000"/>
          <w:sz w:val="24"/>
        </w:rPr>
        <w:t>. The Administrator may grant Stock Options under the Plan. All Stock Options granted under the Plan shall be non-qualified stock options.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Exercise Price</w:t>
      </w:r>
      <w:r>
        <w:rPr>
          <w:rFonts w:ascii="Times New Roman" w:hAnsi="Times New Roman"/>
          <w:color w:val="000000"/>
          <w:sz w:val="24"/>
        </w:rPr>
        <w:t>. The exercise price per share for the Stock covered by a Stock Option granted pursuant to this Section 5 shall be determined by the Administrator at the time of grant but shall not be less than 100 percent of the Fair Market Value on the date of grant.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Option Term</w:t>
      </w:r>
      <w:r>
        <w:rPr>
          <w:rFonts w:ascii="Times New Roman" w:hAnsi="Times New Roman"/>
          <w:color w:val="000000"/>
          <w:sz w:val="24"/>
        </w:rPr>
        <w:t xml:space="preserve">. The term of each Stock Option shall be fixed by the Administrator, but no Stock Option shall be exercisable more than ten years after the date the Stock Option is granted.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Exercisability; Rights of a Stockholder</w:t>
      </w:r>
      <w:r>
        <w:rPr>
          <w:rFonts w:ascii="Times New Roman" w:hAnsi="Times New Roman"/>
          <w:color w:val="000000"/>
          <w:sz w:val="24"/>
        </w:rPr>
        <w:t>. Stock Options shall become exercisable at such time or times, whether or not in installments, as shall be determined by the Administrator at or after the date of grant. The Administrator may at any time accelerate the exercisability of all or any portion of any Stock Option. An optionee shall have the rights of a stockholder only as to shares acquired upon the exercise of a Stock Option and not as to unexercised Stock Options.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Method of Exercise</w:t>
      </w:r>
      <w:r>
        <w:rPr>
          <w:rFonts w:ascii="Times New Roman" w:hAnsi="Times New Roman"/>
          <w:color w:val="000000"/>
          <w:sz w:val="24"/>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cash, by certified or bank check or other instrument acceptable to the Administrator;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Through the delivery (or attestation to the ownership following such procedures as the Company may prescribe) of shares of Stock that are not then subject to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restrictions under any Company plan. Such surrendered shares shall be valued at Fair Market Value on the exercise date;</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taxes that the Company or an Affiliate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6.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STOCK APPRECIATION RIGHTS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Award of Stock Appreciation Rights</w:t>
      </w:r>
      <w:r>
        <w:rPr>
          <w:rFonts w:ascii="Times New Roman" w:hAnsi="Times New Roman"/>
          <w:color w:val="000000"/>
          <w:sz w:val="24"/>
        </w:rPr>
        <w:t>.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Exercise Price of Stock Appreciation Rights</w:t>
      </w:r>
      <w:r>
        <w:rPr>
          <w:rFonts w:ascii="Times New Roman" w:hAnsi="Times New Roman"/>
          <w:color w:val="000000"/>
          <w:sz w:val="24"/>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Grant and Exercise of Stock Appreciation Rights</w:t>
      </w:r>
      <w:r>
        <w:rPr>
          <w:rFonts w:ascii="Times New Roman" w:hAnsi="Times New Roman"/>
          <w:color w:val="000000"/>
          <w:sz w:val="24"/>
        </w:rPr>
        <w:t>. Stock Appreciation Rights may be granted by the Administrator independently of any Stock Option granted pursuant to Section 5 of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Terms and Conditions of Stock Appreciation Rights</w:t>
      </w:r>
      <w:r>
        <w:rPr>
          <w:rFonts w:ascii="Times New Roman" w:hAnsi="Times New Roman"/>
          <w:color w:val="000000"/>
          <w:sz w:val="24"/>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7.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RESTRICTED STOCK AWARDS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Nature of Restricted Stock Awards</w:t>
      </w:r>
      <w:r>
        <w:rPr>
          <w:rFonts w:ascii="Times New Roman" w:hAnsi="Times New Roman"/>
          <w:color w:val="000000"/>
          <w:sz w:val="24"/>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Rights as a Stockholder</w:t>
      </w:r>
      <w:r>
        <w:rPr>
          <w:rFonts w:ascii="Times New Roman" w:hAnsi="Times New Roman"/>
          <w:color w:val="000000"/>
          <w:sz w:val="24"/>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Restrictions</w:t>
      </w:r>
      <w:r>
        <w:rPr>
          <w:rFonts w:ascii="Times New Roman" w:hAnsi="Times New Roman"/>
          <w:color w:val="000000"/>
          <w:sz w:val="24"/>
        </w:rPr>
        <w:t>.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15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Vesting of Restricted Shares</w:t>
      </w:r>
      <w:r>
        <w:rPr>
          <w:rFonts w:ascii="Times New Roman" w:hAnsi="Times New Roman"/>
          <w:color w:val="000000"/>
          <w:sz w:val="24"/>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8.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RESTRICTED STOCK UNITS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Nature of Restricted Stock Units</w:t>
      </w:r>
      <w:r>
        <w:rPr>
          <w:rFonts w:ascii="Times New Roman" w:hAnsi="Times New Roman"/>
          <w:color w:val="000000"/>
          <w:sz w:val="24"/>
        </w:rPr>
        <w:t>.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Rights as a Stockholder</w:t>
      </w:r>
      <w:r>
        <w:rPr>
          <w:rFonts w:ascii="Times New Roman" w:hAnsi="Times New Roman"/>
          <w:color w:val="000000"/>
          <w:sz w:val="24"/>
        </w:rPr>
        <w:t xml:space="preserve">.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10 and such terms and conditions as the Administrator may determine.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Except as may otherwise be provided by the Administrator either in the Award Agreement or, subject to Section 15 below, in writing after the Award is issued, a grantee’s right in all Restricted Stock Units that have not vested shall automatically terminate upon the grantee’s termination of employment (or cessation of Service Relationship) with the Company and its Affiliates for any reason.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9.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UNRESTRICTED STOCK AWARDS</w:t>
      </w:r>
    </w:p>
    <w:p>
      <w:pPr>
        <w:pStyle w:val="TextBody"/>
        <w:bidi w:val="0"/>
        <w:spacing w:before="0" w:after="240"/>
        <w:jc w:val="left"/>
        <w:rPr>
          <w:rFonts w:ascii="Times New Roman" w:hAnsi="Times New Roman"/>
          <w:sz w:val="20"/>
        </w:rPr>
      </w:pPr>
      <w:r>
        <w:rPr>
          <w:rFonts w:ascii="Times New Roman" w:hAnsi="Times New Roman"/>
          <w:color w:val="000000"/>
          <w:sz w:val="24"/>
          <w:u w:val="single"/>
        </w:rPr>
        <w:t>Grant or Sale of Unrestricted Stock</w:t>
      </w:r>
      <w:r>
        <w:rPr>
          <w:rFonts w:ascii="Times New Roman" w:hAnsi="Times New Roman"/>
          <w:color w:val="000000"/>
          <w:sz w:val="24"/>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10.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DIVIDEND EQUIVALENT RIGHTS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Dividend Equivalent Rights</w:t>
      </w:r>
      <w:r>
        <w:rPr>
          <w:rFonts w:ascii="Times New Roman" w:hAnsi="Times New Roman"/>
          <w:color w:val="000000"/>
          <w:sz w:val="24"/>
        </w:rPr>
        <w:t xml:space="preserve">.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Except as may otherwise be provided by the Administrator either in the Award Agreement or, subject to Section 15 below, in writing after the Award is issued, a grantee’s rights in all Dividend Equivalent Rights shall automatically terminate upon the grantee’s termination of employment (or cessation of Service Relationship) with the Company and its Affiliates for any reason.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11.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Transferability of Awards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Transferability</w:t>
      </w:r>
      <w:r>
        <w:rPr>
          <w:rFonts w:ascii="Times New Roman" w:hAnsi="Times New Roman"/>
          <w:color w:val="000000"/>
          <w:sz w:val="24"/>
        </w:rPr>
        <w:t>. Except as provided in Section 11(b) below or otherwise determined by the Administrator,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Administrator Action</w:t>
      </w:r>
      <w:r>
        <w:rPr>
          <w:rFonts w:ascii="Times New Roman" w:hAnsi="Times New Roman"/>
          <w:color w:val="000000"/>
          <w:sz w:val="24"/>
        </w:rPr>
        <w:t>. Notwithstanding Section 11(a), the Administrator, in its discretion, may provide either in the Award Agreement regarding a given Award or by subsequent written approval that the grantee (who is an employee) may transfer his or her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Agreement. In no event may an Award be transferred by a grantee for value.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Family Member</w:t>
      </w:r>
      <w:r>
        <w:rPr>
          <w:rFonts w:ascii="Times New Roman" w:hAnsi="Times New Roman"/>
          <w:color w:val="000000"/>
          <w:sz w:val="24"/>
        </w:rPr>
        <w:t>. For purposes of Section 11(b),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Designation of Beneficiary</w:t>
      </w:r>
      <w:r>
        <w:rPr>
          <w:rFonts w:ascii="Times New Roman" w:hAnsi="Times New Roman"/>
          <w:color w:val="000000"/>
          <w:sz w:val="24"/>
        </w:rPr>
        <w:t>. To the extent permitted by the Company and valid under applicable law,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or legal heirs.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12.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TAX WITHHOLDING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Payment by Grantee</w:t>
      </w:r>
      <w:r>
        <w:rPr>
          <w:rFonts w:ascii="Times New Roman" w:hAnsi="Times New Roman"/>
          <w:color w:val="000000"/>
          <w:sz w:val="24"/>
        </w:rPr>
        <w:t>. Each grantee shall, no later than the date as of which the value of an Award or of any Stock or other amounts received thereunder first becomes includable in the gross income of the grantee for tax purposes, pay to the Company or any applicable Affiliate, or make arrangements satisfactory to the Administrator regarding payment of, any U.S. and non-U.S. federal, state, or local taxes of any kind required by law to be withheld by the Company or any applicable Affiliate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and its Affiliates deem appropriate. The Company’s obligation to deliver evidence of book entry (or stock certificates) to any grantee is subject to and conditioned on tax withholding obligations being satisfied by the grantee.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Payment in Stock</w:t>
      </w:r>
      <w:r>
        <w:rPr>
          <w:rFonts w:ascii="Times New Roman" w:hAnsi="Times New Roman"/>
          <w:color w:val="000000"/>
          <w:sz w:val="24"/>
        </w:rPr>
        <w:t>. The Administrator may cause any tax withholding obligation of the Company or any applicable Affiliate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any tax withholding obligation of the Company or any applicable Affiliate to be satisfied, in whole or in part, by an arrangement whereby a certain number of shares of Stock issued pursuant to any Award are immediately sold and proceeds from such sale are remitted to the Company or any applicable Affiliate in an amount that would satisfy the withholding amount due.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13.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Section 409A awards</w:t>
      </w:r>
    </w:p>
    <w:p>
      <w:pPr>
        <w:pStyle w:val="TextBody"/>
        <w:bidi w:val="0"/>
        <w:spacing w:before="0" w:after="240"/>
        <w:jc w:val="left"/>
        <w:rPr>
          <w:rFonts w:ascii="Times New Roman" w:hAnsi="Times New Roman"/>
          <w:sz w:val="20"/>
        </w:rPr>
      </w:pPr>
      <w:r>
        <w:rPr>
          <w:rFonts w:ascii="Times New Roman" w:hAnsi="Times New Roman"/>
          <w:color w:val="000000"/>
          <w:sz w:val="24"/>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14.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TERMINATION OF SERVICE RELATIONSHIP, TRANSFER, LEAVE OF ABSENCE, ETC.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Termination of Service Relationship</w:t>
      </w:r>
      <w:r>
        <w:rPr>
          <w:rFonts w:ascii="Times New Roman" w:hAnsi="Times New Roman"/>
          <w:color w:val="000000"/>
          <w:sz w:val="24"/>
        </w:rPr>
        <w:t xml:space="preserve">. If the grantee’s Service Relationship is with an Affiliate and such Affiliate ceases to be an Affiliate, the grantee shall be deemed to have terminated his or her Service Relationship for purposes of the Plan.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the Plan, the following events shall not be deemed a termination of a Service Relationship:</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transfer to the Service Relationship of the Company from an Affiliate or from the Company to an Affiliate, or from one Affiliate to another;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 approved leave of absence, if the employee’s right to re-employment is guaranteed either by a statute or by contract or under the policy pursuant to which the leave of absence was granted or if the Administrator otherwise so provides in writing.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15.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AMENDMENTS AND TERMINATION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Nothing in this Section 15 shall limit the Administrator’s authority to take any action permitted pursuant to Section 3(b) or 3(c).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16.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STATUS OF PLAN</w:t>
      </w:r>
    </w:p>
    <w:p>
      <w:pPr>
        <w:pStyle w:val="TextBody"/>
        <w:bidi w:val="0"/>
        <w:spacing w:before="0" w:after="240"/>
        <w:jc w:val="left"/>
        <w:rPr>
          <w:rFonts w:ascii="Times New Roman" w:hAnsi="Times New Roman"/>
          <w:sz w:val="20"/>
        </w:rPr>
      </w:pPr>
      <w:r>
        <w:rPr>
          <w:rFonts w:ascii="Times New Roman" w:hAnsi="Times New Roman"/>
          <w:color w:val="000000"/>
          <w:sz w:val="24"/>
        </w:rPr>
        <w:t>With respect to the portion of any Award that has not been exercised or settled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provided that the existence of such trusts or other arrangements is consistent with the foregoing sentence.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17.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GENERAL PROVISIONS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No Distribution</w:t>
      </w:r>
      <w:r>
        <w:rPr>
          <w:rFonts w:ascii="Times New Roman" w:hAnsi="Times New Roman"/>
          <w:color w:val="000000"/>
          <w:sz w:val="24"/>
        </w:rPr>
        <w:t>. The Administrator may require each person acquiring Stock pursuant to an Award to represent to and agree with the Company in writing that such person is acquiring the shares without a view to distribution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Issuance of Stock</w:t>
      </w:r>
      <w:r>
        <w:rPr>
          <w:rFonts w:ascii="Times New Roman" w:hAnsi="Times New Roman"/>
          <w:color w:val="000000"/>
          <w:sz w:val="24"/>
        </w:rPr>
        <w:t xml:space="preserve">.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Stockholder Rights</w:t>
      </w:r>
      <w:r>
        <w:rPr>
          <w:rFonts w:ascii="Times New Roman" w:hAnsi="Times New Roman"/>
          <w:color w:val="000000"/>
          <w:sz w:val="24"/>
        </w:rPr>
        <w:t>. Until Stock is deemed delivered in accordance with Section 17(b),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Other Incentive Arrangements; No Rights to Continued Service Relationship</w:t>
      </w:r>
      <w:r>
        <w:rPr>
          <w:rFonts w:ascii="Times New Roman" w:hAnsi="Times New Roman"/>
          <w:color w:val="000000"/>
          <w:sz w:val="24"/>
        </w:rPr>
        <w:t>. Nothing contained in this Plan shall prevent the Board from adopting other or additional incentive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Trading Policy Restrictions</w:t>
      </w:r>
      <w:r>
        <w:rPr>
          <w:rFonts w:ascii="Times New Roman" w:hAnsi="Times New Roman"/>
          <w:color w:val="000000"/>
          <w:sz w:val="24"/>
        </w:rPr>
        <w:t>. Option exercises and other Awards under the Plan shall be subject to the Company’s insider trading policies and procedures, as in effect from time to time.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 w:hAnsi="Times New Roman"/>
          <w:color w:val="000000"/>
          <w:sz w:val="24"/>
          <w:u w:val="single"/>
        </w:rPr>
        <w:t>Clawback Policy</w:t>
      </w:r>
      <w:r>
        <w:rPr>
          <w:rFonts w:ascii="Times New Roman" w:hAnsi="Times New Roman"/>
          <w:color w:val="000000"/>
          <w:sz w:val="24"/>
        </w:rPr>
        <w:t>. Awards under the Plan shall be subject to the Company’s clawback policy, as in effect from time to time. In addition, the Administrator may impose such other clawback, recovery, or recoupment provisions in an Award Agreement as the Administrator determines necessary or appropriate, including, but not limited to, a reacquisition right in respect of previously acquired shares of Stock or other cash or property upon the occurrence of a termination for “cause” under any agreement with the Company or an Affiliate thereof. No recovery of compensation under such a clawback policy will be an event giving rise to a right to resign for “good reason” or “</w:t>
      </w:r>
      <w:bookmarkStart w:id="23" w:name="dtdni10"/>
      <w:bookmarkEnd w:id="23"/>
      <w:r>
        <w:rPr>
          <w:rFonts w:ascii="Times New Roman" w:hAnsi="Times New Roman"/>
          <w:color w:val="000000"/>
          <w:sz w:val="24"/>
        </w:rPr>
        <w:t>constructive termination</w:t>
      </w:r>
      <w:r>
        <w:rPr>
          <w:color w:val="000000"/>
        </w:rPr>
        <w:t xml:space="preserve">” </w:t>
      </w:r>
      <w:r>
        <w:rPr>
          <w:rFonts w:ascii="Times New Roman" w:hAnsi="Times New Roman"/>
          <w:color w:val="000000"/>
          <w:sz w:val="24"/>
        </w:rPr>
        <w:t>(or similar term) under any agreement with the Company or an Affiliate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pPr>
      <w:r>
        <w:rPr>
          <w:rFonts w:ascii="Times New Roman" w:hAnsi="Times New Roman"/>
          <w:color w:val="000000"/>
          <w:sz w:val="24"/>
          <w:u w:val="single"/>
        </w:rPr>
        <w:t>Fractional Shares</w:t>
      </w:r>
      <w:r>
        <w:rPr>
          <w:rFonts w:ascii="Times New Roman" w:hAnsi="Times New Roman"/>
          <w:color w:val="000000"/>
          <w:sz w:val="24"/>
        </w:rPr>
        <w:t>. 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18.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EFFECTIVE DATE OF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Plan shall become effective upon the approval by the Board.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19.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GOVERNING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pStyle w:val="TextBody"/>
        <w:bidi w:val="0"/>
        <w:spacing w:before="360" w:after="240"/>
        <w:jc w:val="left"/>
        <w:rPr>
          <w:rFonts w:ascii="Times New Roman" w:hAnsi="Times New Roman"/>
          <w:color w:val="000000"/>
          <w:sz w:val="24"/>
        </w:rPr>
      </w:pPr>
      <w:r>
        <w:rPr>
          <w:rFonts w:ascii="Times New Roman" w:hAnsi="Times New Roman"/>
          <w:color w:val="000000"/>
          <w:sz w:val="24"/>
        </w:rPr>
        <w:t>DATE APPROVED BY BOARD OF DIRECTORS: April 08, 2026</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t> </w:t>
      </w:r>
    </w:p>
    <w:p>
      <w:pPr>
        <w:pStyle w:val="TextBody"/>
        <w:bidi w:val="0"/>
        <w:spacing w:before="0" w:after="480"/>
        <w:jc w:val="center"/>
        <w:rPr>
          <w:rFonts w:ascii="Times New Roman" w:hAnsi="Times New Roman"/>
          <w:b/>
          <w:color w:val="000000"/>
          <w:sz w:val="28"/>
        </w:rPr>
      </w:pPr>
      <w:r>
        <w:rPr>
          <w:rFonts w:ascii="Times New Roman" w:hAnsi="Times New Roman"/>
          <w:b/>
          <w:color w:val="000000"/>
          <w:sz w:val="28"/>
        </w:rPr>
        <w:t>STOCK OPTION AGREEMENT</w:t>
        <w:br/>
        <w:t>UNDER THE kORRO bIO, INC.</w:t>
        <w:br/>
        <w:t>2026 Inducement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Name of Optionee: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 of Option Shares: </w:t>
      </w:r>
    </w:p>
    <w:p>
      <w:pPr>
        <w:pStyle w:val="TextBody"/>
        <w:bidi w:val="0"/>
        <w:jc w:val="left"/>
        <w:rPr>
          <w:rFonts w:ascii="Times New Roman" w:hAnsi="Times New Roman"/>
          <w:sz w:val="20"/>
        </w:rPr>
      </w:pPr>
      <w:r>
        <w:rPr>
          <w:rFonts w:ascii="Times New Roman" w:hAnsi="Times New Roman"/>
          <w:color w:val="000000"/>
          <w:sz w:val="24"/>
        </w:rPr>
        <w:t>Option Exercise Price per Share: $</w:t>
      </w:r>
      <w:r>
        <w:rPr>
          <w:rFonts w:ascii="Times New Roman" w:hAnsi="Times New Roman"/>
          <w:color w:val="000000"/>
          <w:sz w:val="20"/>
          <w:u w:val="single"/>
        </w:rPr>
        <w:t xml:space="preserve"> </w:t>
      </w:r>
    </w:p>
    <w:p>
      <w:pPr>
        <w:pStyle w:val="TextBody"/>
        <w:bidi w:val="0"/>
        <w:jc w:val="left"/>
        <w:rPr>
          <w:rFonts w:ascii="Times New Roman" w:hAnsi="Times New Roman"/>
          <w:b/>
          <w:color w:val="000000"/>
          <w:sz w:val="24"/>
        </w:rPr>
      </w:pPr>
      <w:r>
        <w:rPr>
          <w:rFonts w:ascii="Times New Roman" w:hAnsi="Times New Roman"/>
          <w:b/>
          <w:color w:val="000000"/>
          <w:sz w:val="24"/>
        </w:rPr>
        <w:t>[FMV on Grant Date]</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 xml:space="preserve">Grant Date: </w:t>
      </w:r>
    </w:p>
    <w:p>
      <w:pPr>
        <w:pStyle w:val="TextBody"/>
        <w:bidi w:val="0"/>
        <w:jc w:val="left"/>
        <w:rPr>
          <w:rFonts w:ascii="Times New Roman" w:hAnsi="Times New Roman"/>
          <w:color w:val="000000"/>
          <w:sz w:val="24"/>
        </w:rPr>
      </w:pPr>
      <w:r>
        <w:rPr>
          <w:rFonts w:ascii="Times New Roman" w:hAnsi="Times New Roman"/>
          <w:color w:val="000000"/>
          <w:sz w:val="24"/>
        </w:rPr>
        <w:t xml:space="preserve">Expiration Date: </w:t>
      </w:r>
    </w:p>
    <w:p>
      <w:pPr>
        <w:pStyle w:val="TextBody"/>
        <w:bidi w:val="0"/>
        <w:spacing w:before="480" w:after="240"/>
        <w:jc w:val="left"/>
        <w:rPr>
          <w:rFonts w:ascii="Times New Roman" w:hAnsi="Times New Roman"/>
          <w:color w:val="000000"/>
          <w:sz w:val="24"/>
        </w:rPr>
      </w:pPr>
      <w:r>
        <w:rPr>
          <w:rFonts w:ascii="Times New Roman" w:hAnsi="Times New Roman"/>
          <w:color w:val="000000"/>
          <w:sz w:val="24"/>
        </w:rPr>
        <w:t>Pursuant to the Korro Bio, Inc. 2026 Inducement Plan as amended through the date hereof (the “Plan”), Korro Bio,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For the avoidance of doubt, this Stock Option is not issued under the Company’s 2023 Stock Option and Incentive Plan, as amended from time to time, and does not reduce the share reserve under such equity plan. This Stock Option has been granted as an inducement pursuant to Rule 5635(c)(4) of the Marketplace Rules of The Nasdaq Stock Market LLC. This Stock Option is not intended to be an “incentive stock option” under Section 422 of the Internal Revenue Code of 1986, as amended.</w:t>
      </w:r>
    </w:p>
    <w:p>
      <w:pPr>
        <w:pStyle w:val="TextBody"/>
        <w:bidi w:val="0"/>
        <w:spacing w:before="240" w:after="24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Exercisability Schedule</w:t>
      </w:r>
      <w:r>
        <w:rPr>
          <w:rFonts w:ascii="Times New Roman" w:hAnsi="Times New Roman"/>
          <w:color w:val="000000"/>
          <w:sz w:val="24"/>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below so long as Optionee continues to have a Service Relationship with the Company or a Subsidiary on such dates:</w:t>
      </w:r>
    </w:p>
    <w:tbl>
      <w:tblPr>
        <w:tblW w:w="4577" w:type="dxa"/>
        <w:jc w:val="left"/>
        <w:tblInd w:w="0" w:type="dxa"/>
        <w:tblLayout w:type="fixed"/>
        <w:tblCellMar>
          <w:top w:w="28" w:type="dxa"/>
          <w:left w:w="28" w:type="dxa"/>
          <w:bottom w:w="28" w:type="dxa"/>
          <w:right w:w="28" w:type="dxa"/>
        </w:tblCellMar>
      </w:tblPr>
      <w:tblGrid>
        <w:gridCol w:w="2626"/>
        <w:gridCol w:w="1951"/>
      </w:tblGrid>
      <w:tr>
        <w:trPr/>
        <w:tc>
          <w:tcPr>
            <w:tcW w:w="262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4"/>
              </w:rPr>
            </w:pPr>
            <w:r>
              <w:rPr>
                <w:rFonts w:ascii="Times New Roman" w:hAnsi="Times New Roman"/>
                <w:color w:val="000000"/>
                <w:sz w:val="24"/>
              </w:rPr>
              <w:t>Incremental Number of</w:t>
            </w:r>
            <w:r>
              <w:rPr>
                <w:rFonts w:ascii="Times New Roman" w:hAnsi="Times New Roman"/>
                <w:color w:val="000000"/>
                <w:sz w:val="24"/>
                <w:u w:val="single"/>
              </w:rPr>
              <w:br/>
              <w:t>Option Shares Exercisable</w:t>
            </w:r>
          </w:p>
        </w:tc>
        <w:tc>
          <w:tcPr>
            <w:tcW w:w="195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u w:val="single"/>
              </w:rPr>
            </w:pPr>
            <w:r>
              <w:rPr>
                <w:rFonts w:ascii="Times New Roman" w:hAnsi="Times New Roman"/>
                <w:color w:val="000000"/>
                <w:sz w:val="24"/>
                <w:u w:val="single"/>
              </w:rPr>
              <w:t>Exercisability Date</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 (___%)</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 (___%)</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 (___%)</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 (___%)</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_____________ (___%)</w:t>
            </w:r>
          </w:p>
        </w:tc>
        <w:tc>
          <w:tcPr>
            <w:tcW w:w="195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____________</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Once exercisable, this Stock Option shall continue to be exercisable at any time or times prior to the close of business on the Expiration Date, subject to the provisions hereof and of the Plan.</w:t>
      </w:r>
    </w:p>
    <w:p>
      <w:pPr>
        <w:pStyle w:val="TextBody"/>
        <w:bidi w:val="0"/>
        <w:spacing w:before="240" w:after="24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Manner of Exercise</w:t>
      </w:r>
      <w:r>
        <w:rPr>
          <w:rFonts w:ascii="Times New Roman" w:hAnsi="Times New Roman"/>
          <w:color w:val="000000"/>
          <w:sz w:val="24"/>
        </w:rPr>
        <w:t>.</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 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pStyle w:val="TextBody"/>
        <w:bidi w:val="0"/>
        <w:spacing w:before="240" w:after="240"/>
        <w:jc w:val="left"/>
        <w:rPr>
          <w:rFonts w:ascii="Times New Roman" w:hAnsi="Times New Roman"/>
          <w:sz w:val="20"/>
        </w:rPr>
      </w:pPr>
      <w:r>
        <w:rPr>
          <w:rFonts w:ascii="Times New Roman" w:hAnsi="Times New Roman"/>
          <w:color w:val="000000"/>
          <w:sz w:val="24"/>
        </w:rPr>
        <w:t>(b)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40"/>
        <w:jc w:val="left"/>
        <w:rPr>
          <w:rFonts w:ascii="Times New Roman" w:hAnsi="Times New Roman"/>
          <w:color w:val="000000"/>
          <w:sz w:val="24"/>
        </w:rPr>
      </w:pPr>
      <w:r>
        <w:rPr>
          <w:rFonts w:ascii="Times New Roman" w:hAnsi="Times New Roman"/>
          <w:color w:val="000000"/>
          <w:sz w:val="24"/>
        </w:rPr>
        <w:t>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(c) Notwithstanding any other provision hereof or of the Plan, no portion of this Stock Option shall be exercisable after the Expiration Date hereof.</w:t>
      </w:r>
    </w:p>
    <w:p>
      <w:pPr>
        <w:pStyle w:val="TextBody"/>
        <w:bidi w:val="0"/>
        <w:spacing w:before="240" w:after="24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Termination of Service Relationship</w:t>
      </w:r>
      <w:r>
        <w:rPr>
          <w:rFonts w:ascii="Times New Roman" w:hAnsi="Times New Roman"/>
          <w:color w:val="000000"/>
          <w:sz w:val="24"/>
        </w:rPr>
        <w:t>. If the Optionee’s Service Relationship with the Company or a Subsidiary (as defined in the Plan) is terminated, the period within which to exercise the Stock Option may be subject to earlier termination as set forth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Termination Due to Death</w:t>
      </w:r>
      <w:r>
        <w:rPr>
          <w:rFonts w:ascii="Times New Roman" w:hAnsi="Times New Roman"/>
          <w:color w:val="000000"/>
          <w:sz w:val="24"/>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Termination Due to Disability</w:t>
      </w:r>
      <w:r>
        <w:rPr>
          <w:rFonts w:ascii="Times New Roman" w:hAnsi="Times New Roman"/>
          <w:color w:val="000000"/>
          <w:sz w:val="24"/>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disability shall terminate immediately and be of no further force or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Termination for Cause</w:t>
      </w:r>
      <w:r>
        <w:rPr>
          <w:rFonts w:ascii="Times New Roman" w:hAnsi="Times New Roman"/>
          <w:color w:val="000000"/>
          <w:sz w:val="24"/>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Other Termination</w:t>
      </w:r>
      <w:r>
        <w:rPr>
          <w:rFonts w:ascii="Times New Roman" w:hAnsi="Times New Roman"/>
          <w:color w:val="000000"/>
          <w:sz w:val="24"/>
        </w:rPr>
        <w:t xml:space="preserve">.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a period of three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Administrator’s determination of the reason for termination of the Optionee’s Service Relationship with the Company or a Subsidiary shall be conclusive and binding on the Optionee and his or her representatives or legatees.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Incorporation of Plan.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Transferability</w:t>
      </w:r>
      <w:r>
        <w:rPr>
          <w:rFonts w:ascii="Times New Roman" w:hAnsi="Times New Roman"/>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Tax Withholding</w:t>
      </w:r>
      <w:r>
        <w:rPr>
          <w:rFonts w:ascii="Times New Roman" w:hAnsi="Times New Roman"/>
          <w:color w:val="000000"/>
          <w:sz w:val="24"/>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No Obligation to Continue Service Relationship</w:t>
      </w:r>
      <w:r>
        <w:rPr>
          <w:rFonts w:ascii="Times New Roman" w:hAnsi="Times New Roman"/>
          <w:color w:val="000000"/>
          <w:sz w:val="24"/>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this Stock Option and supersedes all prior agreements and discussions between the parties concerning such subject matter.</w:t>
      </w:r>
    </w:p>
    <w:p>
      <w:pPr>
        <w:pStyle w:val="TextBody"/>
        <w:bidi w:val="0"/>
        <w:jc w:val="left"/>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Data Privacy Consent</w:t>
      </w:r>
      <w:r>
        <w:rPr>
          <w:rFonts w:ascii="Times New Roman" w:hAnsi="Times New Roman"/>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Notices</w:t>
      </w:r>
      <w:r>
        <w:rPr>
          <w:rFonts w:ascii="Times New Roman" w:hAnsi="Times New Roman"/>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11. [Clawback Acknowledgement. The Optionee acknowledges that the Optionee may become subject to the Korro Bio,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a Good Reason Condition (as defined in the Optionee’s employment agreement with the Company) or serve as a basis for a claim of constructive termination under any benefits or compensation arrangement applicable to the Optionee, or (ii) to constitute a breach of a contract or other arrangement to which the Optionee is a party. This Section 11 is a material term of this Agreement.] </w:t>
      </w:r>
      <w:r>
        <w:rPr>
          <w:rFonts w:ascii="Times New Roman" w:hAnsi="Times New Roman"/>
          <w:color w:val="000000"/>
          <w:sz w:val="16"/>
        </w:rPr>
        <w:t>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For Section 16 officers only.</w:t>
      </w:r>
    </w:p>
    <w:p>
      <w:pPr>
        <w:pStyle w:val="TextBody"/>
        <w:bidi w:val="0"/>
        <w:jc w:val="left"/>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Korro Bio, Inc.</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jc w:val="left"/>
        <w:rPr>
          <w:rFonts w:ascii="Times New Roman" w:hAnsi="Times New Roman"/>
          <w:color w:val="000000"/>
          <w:sz w:val="24"/>
        </w:rPr>
      </w:pPr>
      <w:r>
        <w:rPr>
          <w:rFonts w:ascii="Times New Roman" w:hAnsi="Times New Roman"/>
          <w:color w:val="000000"/>
          <w:sz w:val="24"/>
        </w:rPr>
        <w:t xml:space="preserve">Dated: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Optionee’s Signature</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Optionee’s name and address:</w:t>
      </w:r>
    </w:p>
    <w:p>
      <w:pPr>
        <w:pStyle w:val="TextBody"/>
        <w:bidi w:val="0"/>
        <w:spacing w:before="0" w:after="480"/>
        <w:jc w:val="center"/>
        <w:rPr/>
      </w:pPr>
      <w:r>
        <w:rPr/>
        <w:t> </w:t>
      </w:r>
    </w:p>
    <w:p>
      <w:pPr>
        <w:pStyle w:val="TextBody"/>
        <w:bidi w:val="0"/>
        <w:spacing w:before="0" w:after="480"/>
        <w:jc w:val="center"/>
        <w:rPr/>
      </w:pPr>
      <w:r>
        <w:rPr/>
        <w:t> </w:t>
      </w:r>
    </w:p>
    <w:p>
      <w:pPr>
        <w:pStyle w:val="TextBody"/>
        <w:bidi w:val="0"/>
        <w:spacing w:before="0" w:after="480"/>
        <w:jc w:val="center"/>
        <w:rPr/>
      </w:pPr>
      <w:r>
        <w:rPr/>
        <w:t> </w:t>
      </w:r>
    </w:p>
    <w:p>
      <w:pPr>
        <w:pStyle w:val="TextBody"/>
        <w:bidi w:val="0"/>
        <w:spacing w:before="0" w:after="480"/>
        <w:jc w:val="center"/>
        <w:rPr/>
      </w:pPr>
      <w:r>
        <w:rPr/>
        <w:t> </w:t>
      </w:r>
    </w:p>
    <w:p>
      <w:pPr>
        <w:pStyle w:val="TextBody"/>
        <w:bidi w:val="0"/>
        <w:spacing w:before="0" w:after="480"/>
        <w:jc w:val="center"/>
        <w:rPr/>
      </w:pPr>
      <w:r>
        <w:rPr/>
        <w:t> </w:t>
      </w:r>
    </w:p>
    <w:p>
      <w:pPr>
        <w:pStyle w:val="TextBody"/>
        <w:bidi w:val="0"/>
        <w:spacing w:before="0" w:after="480"/>
        <w:jc w:val="center"/>
        <w:rPr/>
      </w:pPr>
      <w:r>
        <w:rPr/>
        <w:t> </w:t>
      </w:r>
    </w:p>
    <w:p>
      <w:pPr>
        <w:pStyle w:val="TextBody"/>
        <w:bidi w:val="0"/>
        <w:spacing w:before="0" w:after="480"/>
        <w:jc w:val="center"/>
        <w:rPr/>
      </w:pPr>
      <w:r>
        <w:rPr/>
        <w:t> </w:t>
      </w:r>
    </w:p>
    <w:p>
      <w:pPr>
        <w:pStyle w:val="TextBody"/>
        <w:bidi w:val="0"/>
        <w:spacing w:before="0" w:after="48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olor w:val="000000"/>
          <w:sz w:val="28"/>
        </w:rPr>
      </w:pPr>
      <w:r>
        <w:rPr>
          <w:rFonts w:ascii="Times New Roman" w:hAnsi="Times New Roman"/>
          <w:b/>
          <w:color w:val="000000"/>
          <w:sz w:val="28"/>
        </w:rPr>
        <w:t>RESTRICTED STOCK UNIT AWARD AGREEMENT</w:t>
        <w:br/>
        <w:t>UNDER THE KORRO BIO, INC.</w:t>
        <w:br/>
        <w:t>2026 Inducement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Name of Grantee: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 of Restricted Stock Units: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Grant Date: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Pursuant to the Korro Bio, Inc. 2026 Inducement Plan as amended through the date hereof (the “Plan”), Korro Bio, Inc. (the “Company”) hereby grants an award of the number of Restricted Stock Units listed above (an “Award”) to the Grantee named above. Each Restricted Stock Unit shall relate to one share of Common Stock, par value $0.001 per share (the “Stock”) of the Company. For the avoidance of doubt, this Award is not issued under the Company’s 2023 Stock Option and Incentive Plan, as amended from time to time, and does not reduce the share reserve under such equity plan. This Award has been granted as an inducement pursuant to Rule 5635(c)(4) of the Marketplace Rules of The Nasdaq Stock Market LLC.</w:t>
      </w:r>
    </w:p>
    <w:p>
      <w:pPr>
        <w:pStyle w:val="TextBody"/>
        <w:bidi w:val="0"/>
        <w:spacing w:before="240" w:after="24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Restrictions on Transfer of Award</w:t>
      </w:r>
      <w:r>
        <w:rPr>
          <w:rFonts w:ascii="Times New Roman" w:hAnsi="Times New Roman"/>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before="240" w:after="24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Vesting of Restricted Stock Units</w:t>
      </w:r>
      <w:r>
        <w:rPr>
          <w:rFonts w:ascii="Times New Roman" w:hAnsi="Times New Roman"/>
          <w:color w:val="000000"/>
          <w:sz w:val="24"/>
        </w:rPr>
        <w:t>. The restrictions and conditions of Paragraph 1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20. </w:t>
      </w:r>
    </w:p>
    <w:tbl>
      <w:tblPr>
        <w:tblW w:w="4919" w:type="dxa"/>
        <w:jc w:val="left"/>
        <w:tblInd w:w="0" w:type="dxa"/>
        <w:tblLayout w:type="fixed"/>
        <w:tblCellMar>
          <w:top w:w="28" w:type="dxa"/>
          <w:left w:w="28" w:type="dxa"/>
          <w:bottom w:w="28" w:type="dxa"/>
          <w:right w:w="28" w:type="dxa"/>
        </w:tblCellMar>
      </w:tblPr>
      <w:tblGrid>
        <w:gridCol w:w="2956"/>
        <w:gridCol w:w="1963"/>
      </w:tblGrid>
      <w:tr>
        <w:trPr/>
        <w:tc>
          <w:tcPr>
            <w:tcW w:w="295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4"/>
              </w:rPr>
            </w:pPr>
            <w:r>
              <w:rPr>
                <w:rFonts w:ascii="Times New Roman" w:hAnsi="Times New Roman"/>
                <w:color w:val="000000"/>
                <w:sz w:val="24"/>
              </w:rPr>
              <w:t>Incremental Number of</w:t>
              <w:br/>
            </w:r>
            <w:r>
              <w:rPr>
                <w:rFonts w:ascii="Times New Roman" w:hAnsi="Times New Roman"/>
                <w:color w:val="000000"/>
                <w:sz w:val="24"/>
                <w:u w:val="single"/>
              </w:rPr>
              <w:t>Restricted Stock Units Vested</w:t>
            </w:r>
          </w:p>
        </w:tc>
        <w:tc>
          <w:tcPr>
            <w:tcW w:w="1963" w:type="dxa"/>
            <w:tcBorders/>
            <w:tcMar>
              <w:top w:w="0" w:type="dxa"/>
              <w:left w:w="0" w:type="dxa"/>
              <w:bottom w:w="0" w:type="dxa"/>
              <w:right w:w="0" w:type="dxa"/>
            </w:tcMar>
            <w:vAlign w:val="center"/>
          </w:tcPr>
          <w:p>
            <w:pPr>
              <w:pStyle w:val="TableContents"/>
              <w:bidi w:val="0"/>
              <w:spacing w:before="0" w:after="240"/>
              <w:ind w:left="0" w:right="0" w:firstLine="12"/>
              <w:jc w:val="center"/>
              <w:rPr>
                <w:rFonts w:ascii="Times New Roman" w:hAnsi="Times New Roman"/>
                <w:color w:val="000000"/>
                <w:sz w:val="24"/>
                <w:u w:val="single"/>
              </w:rPr>
            </w:pPr>
            <w:r>
              <w:rPr>
                <w:rFonts w:ascii="Times New Roman" w:hAnsi="Times New Roman"/>
                <w:color w:val="000000"/>
                <w:sz w:val="24"/>
                <w:u w:val="single"/>
              </w:rPr>
              <w:t>Vesting Date</w:t>
            </w:r>
          </w:p>
        </w:tc>
      </w:tr>
      <w:tr>
        <w:trPr/>
        <w:tc>
          <w:tcPr>
            <w:tcW w:w="2956"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b/>
                <w:color w:val="000000"/>
                <w:sz w:val="24"/>
              </w:rPr>
            </w:pPr>
            <w:r>
              <w:rPr>
                <w:rFonts w:ascii="Times New Roman" w:hAnsi="Times New Roman"/>
                <w:b/>
                <w:color w:val="000000"/>
                <w:sz w:val="24"/>
              </w:rPr>
              <w:t>_______________</w:t>
            </w:r>
          </w:p>
        </w:tc>
      </w:tr>
      <w:tr>
        <w:trPr/>
        <w:tc>
          <w:tcPr>
            <w:tcW w:w="2956"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b/>
                <w:color w:val="000000"/>
                <w:sz w:val="24"/>
              </w:rPr>
            </w:pPr>
            <w:r>
              <w:rPr>
                <w:rFonts w:ascii="Times New Roman" w:hAnsi="Times New Roman"/>
                <w:b/>
                <w:color w:val="000000"/>
                <w:sz w:val="24"/>
              </w:rPr>
              <w:t>_______________</w:t>
            </w:r>
          </w:p>
        </w:tc>
      </w:tr>
      <w:tr>
        <w:trPr/>
        <w:tc>
          <w:tcPr>
            <w:tcW w:w="2956"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b/>
                <w:color w:val="000000"/>
                <w:sz w:val="24"/>
              </w:rPr>
            </w:pPr>
            <w:r>
              <w:rPr>
                <w:rFonts w:ascii="Times New Roman" w:hAnsi="Times New Roman"/>
                <w:b/>
                <w:color w:val="000000"/>
                <w:sz w:val="24"/>
              </w:rPr>
              <w:t>_______________</w:t>
            </w:r>
          </w:p>
        </w:tc>
      </w:tr>
      <w:tr>
        <w:trPr/>
        <w:tc>
          <w:tcPr>
            <w:tcW w:w="2956" w:type="dxa"/>
            <w:tcBorders/>
            <w:tcMar>
              <w:top w:w="0" w:type="dxa"/>
              <w:left w:w="0" w:type="dxa"/>
              <w:bottom w:w="0" w:type="dxa"/>
              <w:right w:w="0" w:type="dxa"/>
            </w:tcMar>
            <w:vAlign w:val="center"/>
          </w:tcPr>
          <w:p>
            <w:pPr>
              <w:pStyle w:val="TableContents"/>
              <w:bidi w:val="0"/>
              <w:spacing w:before="0" w:after="240"/>
              <w:ind w:left="0"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_______________</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Administrator may at any time accelerate the vesting schedule specified in this Paragraph 2.</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Termination of Service Relationship</w:t>
      </w:r>
      <w:r>
        <w:rPr>
          <w:rFonts w:ascii="Times New Roman" w:hAnsi="Times New Roman"/>
          <w:color w:val="000000"/>
          <w:sz w:val="24"/>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Issuance of Shares of Stock</w:t>
      </w:r>
      <w:r>
        <w:rPr>
          <w:rFonts w:ascii="Times New Roman" w:hAnsi="Times New Roman"/>
          <w:color w:val="000000"/>
          <w:sz w:val="24"/>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Tax Withholding.</w:t>
      </w:r>
      <w:r>
        <w:rPr>
          <w:rFonts w:ascii="Times New Roman" w:hAnsi="Times New Roman"/>
          <w:color w:val="000000"/>
          <w:sz w:val="20"/>
        </w:rPr>
        <w:t xml:space="preserve"> </w:t>
      </w:r>
      <w:r>
        <w:rPr>
          <w:rFonts w:ascii="Times New Roman" w:hAnsi="Times New Roman"/>
          <w:color w:val="000000"/>
          <w:sz w:val="24"/>
        </w:rPr>
        <w:t>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Section 409A of the Code</w:t>
      </w:r>
      <w:r>
        <w:rPr>
          <w:rFonts w:ascii="Times New Roman" w:hAnsi="Times New Roman"/>
          <w:color w:val="000000"/>
          <w:sz w:val="24"/>
        </w:rPr>
        <w:t>. 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No Obligation to Continue Service Relationship</w:t>
      </w:r>
      <w:r>
        <w:rPr>
          <w:rFonts w:ascii="Times New Roman" w:hAnsi="Times New Roman"/>
          <w:color w:val="000000"/>
          <w:sz w:val="24"/>
        </w:rPr>
        <w:t>. Neither the Company nor any Subsidiary is obligated by or as a result of the Plan or this Agreement to continue the Grantee’s Service Relationship with the Company or a Subsidiary and neither the Plan nor this Agreement shall interfere in any way with the right of the Company or any Subsidiary to terminate the Grantee’s Service Relationship with the Company or a Subsidiary at any time.</w:t>
      </w:r>
    </w:p>
    <w:p>
      <w:pPr>
        <w:pStyle w:val="TextBody"/>
        <w:bidi w:val="0"/>
        <w:jc w:val="left"/>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Data Privacy Consent</w:t>
      </w:r>
      <w:r>
        <w:rPr>
          <w:rFonts w:ascii="Times New Roman" w:hAnsi="Times New Roman"/>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Notices</w:t>
      </w:r>
      <w:r>
        <w:rPr>
          <w:rFonts w:ascii="Times New Roman" w:hAnsi="Times New Roman"/>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240"/>
        <w:jc w:val="left"/>
        <w:rPr>
          <w:rFonts w:ascii="Times New Roman" w:hAnsi="Times New Roman"/>
          <w:sz w:val="20"/>
        </w:rPr>
      </w:pPr>
      <w:r>
        <w:rPr>
          <w:rFonts w:ascii="Times New Roman" w:hAnsi="Times New Roman"/>
          <w:color w:val="000000"/>
          <w:sz w:val="24"/>
        </w:rPr>
        <w:t>12. [Clawback Acknowledgement. The Grantee acknowledges that the Grantee may become subject to the Korro Bio,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a Good Reason Condition (as defined in the Grantee’s employment agreement with the Company) or serve as a basis for a claim of constructive termination under any benefits or compensation arrangement applicable to</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Grantee, or (ii) to constitute a breach of a contract or other arrangement to which the Grantee is a party. This Section 12 is a material term of this Agreement.] </w:t>
      </w:r>
      <w:r>
        <w:rPr>
          <w:rFonts w:ascii="Times New Roman" w:hAnsi="Times New Roman"/>
          <w:color w:val="000000"/>
          <w:sz w:val="16"/>
        </w:rPr>
        <w:t>2</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Korro Bio, Inc.</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jc w:val="left"/>
        <w:rPr>
          <w:rFonts w:ascii="Times New Roman" w:hAnsi="Times New Roman"/>
          <w:color w:val="000000"/>
          <w:sz w:val="24"/>
        </w:rPr>
      </w:pPr>
      <w:r>
        <w:rPr>
          <w:rFonts w:ascii="Times New Roman" w:hAnsi="Times New Roman"/>
          <w:color w:val="000000"/>
          <w:sz w:val="24"/>
        </w:rPr>
        <w:t xml:space="preserve">Dated: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Grantee’s Signature</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Grantee’s name and address:</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13"/>
        </w:rPr>
        <w:t>2</w:t>
      </w:r>
      <w:r>
        <w:rPr>
          <w:rFonts w:ascii="Times New Roman" w:hAnsi="Times New Roman"/>
          <w:color w:val="000000"/>
          <w:sz w:val="20"/>
        </w:rPr>
        <w:t xml:space="preserve"> </w:t>
      </w:r>
      <w:r>
        <w:rPr>
          <w:rFonts w:ascii="sans-serif" w:hAnsi="sans-serif"/>
          <w:color w:val="000000"/>
          <w:sz w:val="20"/>
        </w:rPr>
        <w:t>For Section 16 officers only.</w:t>
      </w:r>
    </w:p>
    <w:p>
      <w:pPr>
        <w:pStyle w:val="TextBody"/>
        <w:bidi w:val="0"/>
        <w:jc w:val="left"/>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spacing w:before="80" w:after="283"/>
        <w:jc w:val="right"/>
        <w:rPr>
          <w:rFonts w:ascii="Times New Roman" w:hAnsi="Times New Roman"/>
          <w:b w:val="false"/>
          <w:color w:val="000000"/>
          <w:sz w:val="20"/>
        </w:rPr>
      </w:pPr>
      <w:bookmarkStart w:id="24" w:name="krro-ex10_2.htm"/>
      <w:bookmarkStart w:id="25" w:name="kskrroex10_2"/>
      <w:bookmarkEnd w:id="24"/>
      <w:bookmarkEnd w:id="25"/>
      <w:r>
        <w:rPr>
          <w:rFonts w:ascii="Times New Roman" w:hAnsi="Times New Roman"/>
          <w:b w:val="false"/>
          <w:color w:val="000000"/>
          <w:sz w:val="20"/>
        </w:rPr>
        <w:t>Exhibit 10.2</w:t>
      </w:r>
      <w:r>
        <w:br w:type="page"/>
      </w:r>
    </w:p>
    <w:p>
      <w:pPr>
        <w:pStyle w:val="Heading1"/>
        <w:bidi w:val="0"/>
        <w:spacing w:before="80" w:after="283"/>
        <w:jc w:val="center"/>
        <w:rPr>
          <w:rFonts w:ascii="Times New Roman" w:hAnsi="Times New Roman"/>
          <w:color w:val="000000"/>
          <w:sz w:val="22"/>
        </w:rPr>
      </w:pPr>
      <w:r>
        <w:rPr>
          <w:rFonts w:ascii="Times New Roman" w:hAnsi="Times New Roman"/>
          <w:color w:val="000000"/>
          <w:sz w:val="22"/>
        </w:rPr>
        <w:t>KORRO BIO, INC.</w:t>
      </w:r>
    </w:p>
    <w:p>
      <w:pPr>
        <w:pStyle w:val="TextBody"/>
        <w:bidi w:val="0"/>
        <w:spacing w:before="239" w:after="283"/>
        <w:jc w:val="center"/>
        <w:rPr>
          <w:rFonts w:ascii="Times New Roman" w:hAnsi="Times New Roman"/>
          <w:b/>
          <w:color w:val="000000"/>
          <w:sz w:val="22"/>
        </w:rPr>
      </w:pPr>
      <w:r>
        <w:rPr>
          <w:rFonts w:ascii="Times New Roman" w:hAnsi="Times New Roman"/>
          <w:b/>
          <w:color w:val="000000"/>
          <w:sz w:val="22"/>
        </w:rPr>
        <w:t>AMENDED AND RESTATED NON-EMPLOYEE DIRECTOR COMPENSATION POLICY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The purpose of this Amended and Restated Non-Employee Director Compensation Policy (the “</w:t>
      </w:r>
      <w:r>
        <w:rPr>
          <w:rFonts w:ascii="Times New Roman" w:hAnsi="Times New Roman"/>
          <w:color w:val="000000"/>
          <w:sz w:val="22"/>
          <w:u w:val="single"/>
        </w:rPr>
        <w:t>Policy</w:t>
      </w:r>
      <w:r>
        <w:rPr>
          <w:rFonts w:ascii="Times New Roman" w:hAnsi="Times New Roman"/>
          <w:color w:val="000000"/>
          <w:sz w:val="20"/>
        </w:rPr>
        <w:t>”</w:t>
      </w:r>
      <w:r>
        <w:rPr>
          <w:rFonts w:ascii="Times New Roman" w:hAnsi="Times New Roman"/>
          <w:color w:val="000000"/>
          <w:sz w:val="22"/>
        </w:rPr>
        <w:t>) of Korro Bio, Inc., a Delaware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is to provide a total compensation package that enables the Company to attract and retain, on a long-term basis, high-caliber directors who are not employees or officers of the Company or its subsidiaries (“</w:t>
      </w:r>
      <w:r>
        <w:rPr>
          <w:rFonts w:ascii="Times New Roman" w:hAnsi="Times New Roman"/>
          <w:color w:val="000000"/>
          <w:sz w:val="22"/>
          <w:u w:val="single"/>
        </w:rPr>
        <w:t>Outside Directors</w:t>
      </w:r>
      <w:r>
        <w:rPr>
          <w:rFonts w:ascii="Times New Roman" w:hAnsi="Times New Roman"/>
          <w:color w:val="000000"/>
          <w:sz w:val="20"/>
        </w:rPr>
        <w:t>”</w:t>
      </w:r>
      <w:r>
        <w:rPr>
          <w:rFonts w:ascii="Times New Roman" w:hAnsi="Times New Roman"/>
          <w:color w:val="000000"/>
          <w:sz w:val="22"/>
        </w:rPr>
        <w:t>). This Policy will become effective as of April 8, 2026 (the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 In furtherance of the purpose stated above, all Outside Directors shall be paid compensation for services provided to the Company as set forth below:</w:t>
      </w:r>
    </w:p>
    <w:p>
      <w:pPr>
        <w:pStyle w:val="TextBody"/>
        <w:bidi w:val="0"/>
        <w:spacing w:before="241" w:after="283"/>
        <w:jc w:val="left"/>
        <w:rPr>
          <w:rFonts w:ascii="Times New Roman" w:hAnsi="Times New Roman"/>
          <w:b/>
          <w:color w:val="000000"/>
          <w:sz w:val="22"/>
        </w:rPr>
      </w:pPr>
      <w:r>
        <w:rPr>
          <w:rFonts w:ascii="Times New Roman" w:hAnsi="Times New Roman"/>
          <w:b/>
          <w:color w:val="000000"/>
          <w:sz w:val="22"/>
        </w:rPr>
        <w:t>I.</w:t>
      </w:r>
    </w:p>
    <w:p>
      <w:pPr>
        <w:pStyle w:val="TextBody"/>
        <w:bidi w:val="0"/>
        <w:spacing w:before="241" w:after="283"/>
        <w:jc w:val="left"/>
        <w:rPr>
          <w:rFonts w:ascii="Times New Roman" w:hAnsi="Times New Roman"/>
          <w:b/>
          <w:color w:val="000000"/>
          <w:sz w:val="22"/>
          <w:u w:val="single"/>
        </w:rPr>
      </w:pPr>
      <w:r>
        <w:rPr>
          <w:rFonts w:ascii="Times New Roman" w:hAnsi="Times New Roman"/>
          <w:b/>
          <w:color w:val="000000"/>
          <w:sz w:val="22"/>
          <w:u w:val="single"/>
        </w:rPr>
        <w:t>Cash Retainers</w:t>
      </w:r>
    </w:p>
    <w:p>
      <w:pPr>
        <w:pStyle w:val="TextBody"/>
        <w:bidi w:val="0"/>
        <w:spacing w:before="239" w:after="283"/>
        <w:jc w:val="both"/>
        <w:rPr>
          <w:rFonts w:ascii="Times New Roman" w:hAnsi="Times New Roman"/>
          <w:sz w:val="20"/>
        </w:rPr>
      </w:pPr>
      <w:r>
        <w:rPr>
          <w:rFonts w:ascii="Times New Roman" w:hAnsi="Times New Roman"/>
          <w:color w:val="000000"/>
          <w:sz w:val="22"/>
          <w:u w:val="single"/>
        </w:rPr>
        <w:t>Annual Retainer for Board Membership</w:t>
      </w:r>
      <w:r>
        <w:rPr>
          <w:rFonts w:ascii="Times New Roman" w:hAnsi="Times New Roman"/>
          <w:color w:val="000000"/>
          <w:sz w:val="22"/>
        </w:rPr>
        <w:t>: $40,000 for general availability and participation in meetings and conference calls of our Board of Directors, to be paid quarterly in arrears, pro-rated based on the number of actual days served by the director during such calendar quarter. No additional compensation for attending individual Board of Directors meetings.</w:t>
      </w:r>
    </w:p>
    <w:p>
      <w:pPr>
        <w:pStyle w:val="TextBody"/>
        <w:bidi w:val="0"/>
        <w:spacing w:before="241" w:after="283"/>
        <w:jc w:val="left"/>
        <w:rPr>
          <w:rFonts w:ascii="Times New Roman" w:hAnsi="Times New Roman"/>
          <w:sz w:val="20"/>
        </w:rPr>
      </w:pPr>
      <w:r>
        <w:rPr>
          <w:rFonts w:ascii="Times New Roman" w:hAnsi="Times New Roman"/>
          <w:color w:val="000000"/>
          <w:sz w:val="22"/>
          <w:u w:val="single"/>
        </w:rPr>
        <w:t>Additional Annual Retainers for Committee Membership</w:t>
      </w:r>
      <w:r>
        <w:rPr>
          <w:rFonts w:ascii="Times New Roman" w:hAnsi="Times New Roman"/>
          <w:color w:val="000000"/>
          <w:sz w:val="22"/>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Audit Committee Chairperson: $15,000</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Audit Committee member (other than Chairperson): $7,500</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Compensation Committee Chairperson: $12,000</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Compensation Committee member (other than Chairperson): $6,000 Nominating and Corporate Governance Committee Chairperson: $10,000 Nominating and Corporate Governance Committee member (other than Chairperson): $5,000</w:t>
      </w:r>
    </w:p>
    <w:p>
      <w:pPr>
        <w:pStyle w:val="TextBody"/>
        <w:bidi w:val="0"/>
        <w:jc w:val="both"/>
        <w:rPr>
          <w:rFonts w:ascii="Times New Roman" w:hAnsi="Times New Roman"/>
          <w:sz w:val="20"/>
        </w:rPr>
      </w:pPr>
      <w:r>
        <w:rPr>
          <w:rFonts w:ascii="Times New Roman" w:hAnsi="Times New Roman"/>
          <w:color w:val="000000"/>
          <w:sz w:val="22"/>
          <w:u w:val="single"/>
        </w:rPr>
        <w:t>Additional Retainer for Non-Executive Chairperson or Lead Director of the Board of Directors</w:t>
      </w:r>
      <w:r>
        <w:rPr>
          <w:rFonts w:ascii="Times New Roman" w:hAnsi="Times New Roman"/>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$30,000 to acknowledge the additional responsibilities and time commitment of the Non-Executive Chairperson role, or in the absence of a Non-Executive Chairperson, $30,000 for the Outside Director designated Lead Director.</w:t>
      </w:r>
    </w:p>
    <w:p>
      <w:pPr>
        <w:pStyle w:val="TextBody"/>
        <w:bidi w:val="0"/>
        <w:jc w:val="left"/>
        <w:rPr/>
      </w:pPr>
      <w:r>
        <w:rPr/>
        <w:t> </w:t>
      </w:r>
    </w:p>
    <w:p>
      <w:pPr>
        <w:pStyle w:val="TextBody"/>
        <w:bidi w:val="0"/>
        <w:spacing w:before="1" w:after="283"/>
        <w:jc w:val="left"/>
        <w:rPr>
          <w:rFonts w:ascii="Times New Roman" w:hAnsi="Times New Roman"/>
          <w:b/>
          <w:color w:val="000000"/>
          <w:sz w:val="22"/>
        </w:rPr>
      </w:pPr>
      <w:r>
        <w:rPr>
          <w:rFonts w:ascii="Times New Roman" w:hAnsi="Times New Roman"/>
          <w:b/>
          <w:color w:val="000000"/>
          <w:sz w:val="22"/>
        </w:rPr>
        <w:t>II.</w:t>
      </w:r>
    </w:p>
    <w:p>
      <w:pPr>
        <w:pStyle w:val="TextBody"/>
        <w:bidi w:val="0"/>
        <w:spacing w:before="1" w:after="283"/>
        <w:jc w:val="left"/>
        <w:rPr>
          <w:rFonts w:ascii="Times New Roman" w:hAnsi="Times New Roman"/>
          <w:b/>
          <w:color w:val="000000"/>
          <w:sz w:val="22"/>
          <w:u w:val="single"/>
        </w:rPr>
      </w:pPr>
      <w:r>
        <w:rPr>
          <w:rFonts w:ascii="Times New Roman" w:hAnsi="Times New Roman"/>
          <w:b/>
          <w:color w:val="000000"/>
          <w:sz w:val="22"/>
          <w:u w:val="single"/>
        </w:rPr>
        <w:t>Equity Retainers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All grants of equity retainer awards to Outside Directors pursuant to this Policy will be automatic and nondiscretionary and will be made in accordance with the following provisions:</w:t>
      </w:r>
    </w:p>
    <w:p>
      <w:pPr>
        <w:pStyle w:val="TextBody"/>
        <w:bidi w:val="0"/>
        <w:spacing w:before="237" w:after="283"/>
        <w:jc w:val="right"/>
        <w:rPr>
          <w:rFonts w:ascii="Times New Roman" w:hAnsi="Times New Roman"/>
          <w:sz w:val="20"/>
        </w:rPr>
      </w:pPr>
      <w:r>
        <w:rPr>
          <w:rFonts w:ascii="Times New Roman" w:hAnsi="Times New Roman"/>
          <w:color w:val="000000"/>
          <w:sz w:val="22"/>
          <w:u w:val="single"/>
        </w:rPr>
        <w:t>Outstanding Shares</w:t>
      </w:r>
      <w:r>
        <w:rPr>
          <w:rFonts w:ascii="Times New Roman" w:hAnsi="Times New Roman"/>
          <w:color w:val="000000"/>
          <w:sz w:val="22"/>
        </w:rPr>
        <w:t>. For purposes of this Policy, “Outstanding Shares” means, as of a</w:t>
      </w:r>
    </w:p>
    <w:p>
      <w:pPr>
        <w:pStyle w:val="TextBody"/>
        <w:bidi w:val="0"/>
        <w:jc w:val="right"/>
        <w:rPr>
          <w:rFonts w:ascii="Times New Roman" w:hAnsi="Times New Roman"/>
          <w:color w:val="000000"/>
          <w:sz w:val="22"/>
        </w:rPr>
      </w:pPr>
      <w:r>
        <w:rPr>
          <w:rFonts w:ascii="Times New Roman" w:hAnsi="Times New Roman"/>
          <w:color w:val="000000"/>
          <w:sz w:val="22"/>
        </w:rPr>
        <w:t>specified date, the sum of (i) the total number of shares of the Company’s common stock, par value</w:t>
      </w:r>
    </w:p>
    <w:p>
      <w:pPr>
        <w:pStyle w:val="TextBody"/>
        <w:bidi w:val="0"/>
        <w:jc w:val="right"/>
        <w:rPr>
          <w:rFonts w:ascii="Times New Roman" w:hAnsi="Times New Roman"/>
          <w:sz w:val="20"/>
        </w:rPr>
      </w:pPr>
      <w:r>
        <w:rPr>
          <w:rFonts w:ascii="Times New Roman" w:hAnsi="Times New Roman"/>
          <w:color w:val="000000"/>
          <w:sz w:val="22"/>
        </w:rPr>
        <w:t>$0.001 per share (“</w:t>
      </w:r>
      <w:r>
        <w:rPr>
          <w:rFonts w:ascii="Times New Roman" w:hAnsi="Times New Roman"/>
          <w:color w:val="000000"/>
          <w:sz w:val="22"/>
          <w:u w:val="single"/>
        </w:rPr>
        <w:t>Common Stock</w:t>
      </w:r>
      <w:r>
        <w:rPr>
          <w:rFonts w:ascii="Times New Roman" w:hAnsi="Times New Roman"/>
          <w:color w:val="000000"/>
          <w:sz w:val="20"/>
        </w:rPr>
        <w:t>”</w:t>
      </w:r>
      <w:r>
        <w:rPr>
          <w:rFonts w:ascii="Times New Roman" w:hAnsi="Times New Roman"/>
          <w:color w:val="000000"/>
          <w:sz w:val="22"/>
        </w:rPr>
        <w:t>), issued and outstanding and (ii) the number of shares of</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Common Stock issuable pursuant to the exercise of any outstanding, pre-funded warrants to acquire Common Stock for a nominal exercise price.</w:t>
      </w:r>
    </w:p>
    <w:p>
      <w:pPr>
        <w:pStyle w:val="TextBody"/>
        <w:bidi w:val="0"/>
        <w:spacing w:before="239" w:after="283"/>
        <w:jc w:val="both"/>
        <w:rPr>
          <w:rFonts w:ascii="Times New Roman" w:hAnsi="Times New Roman"/>
          <w:sz w:val="20"/>
        </w:rPr>
      </w:pPr>
      <w:r>
        <w:rPr>
          <w:rFonts w:ascii="Times New Roman" w:hAnsi="Times New Roman"/>
          <w:color w:val="000000"/>
          <w:sz w:val="22"/>
          <w:u w:val="single"/>
        </w:rPr>
        <w:t>Value</w:t>
      </w:r>
      <w:r>
        <w:rPr>
          <w:rFonts w:ascii="Times New Roman" w:hAnsi="Times New Roman"/>
          <w:color w:val="000000"/>
          <w:sz w:val="22"/>
        </w:rPr>
        <w:t>. For purposes of this Policy, “</w:t>
      </w:r>
      <w:r>
        <w:rPr>
          <w:rFonts w:ascii="Times New Roman" w:hAnsi="Times New Roman"/>
          <w:color w:val="000000"/>
          <w:sz w:val="22"/>
          <w:u w:val="single"/>
        </w:rPr>
        <w:t>Value</w:t>
      </w:r>
      <w:r>
        <w:rPr>
          <w:rFonts w:ascii="Times New Roman" w:hAnsi="Times New Roman"/>
          <w:color w:val="000000"/>
          <w:sz w:val="20"/>
        </w:rPr>
        <w:t xml:space="preserve">” </w:t>
      </w:r>
      <w:r>
        <w:rPr>
          <w:rFonts w:ascii="Times New Roman" w:hAnsi="Times New Roman"/>
          <w:color w:val="000000"/>
          <w:sz w:val="22"/>
        </w:rPr>
        <w:t>means with respect to (i) any award of stock options the grant date fair value of the option (i.e., Black-Scholes Value) determined in accordance with the reasonable assumptions and methodologies employed by the Company for calculating the fair value of options under ASC Topic 718; and (ii) any award of restricted stock and restricted stock units the product of (A) the average closing market price on the Nasdaq (or such other market on which the Common Stock is then principally listed) of one share of the Common Stock over the trailing 30-trading day period ending on the last trading day immediately prior to the grant date and</w:t>
      </w:r>
    </w:p>
    <w:p>
      <w:pPr>
        <w:pStyle w:val="TextBody"/>
        <w:bidi w:val="0"/>
        <w:spacing w:before="2" w:after="283"/>
        <w:jc w:val="both"/>
        <w:rPr>
          <w:rFonts w:ascii="Times New Roman" w:hAnsi="Times New Roman"/>
          <w:color w:val="000000"/>
          <w:sz w:val="22"/>
        </w:rPr>
      </w:pPr>
      <w:r>
        <w:rPr>
          <w:rFonts w:ascii="Times New Roman" w:hAnsi="Times New Roman"/>
          <w:color w:val="000000"/>
          <w:sz w:val="22"/>
        </w:rPr>
        <w:t>(B) the aggregate number of shares pursuant to such award.</w:t>
      </w:r>
    </w:p>
    <w:p>
      <w:pPr>
        <w:pStyle w:val="TextBody"/>
        <w:bidi w:val="0"/>
        <w:spacing w:before="239" w:after="283"/>
        <w:jc w:val="both"/>
        <w:rPr>
          <w:rFonts w:ascii="Times New Roman" w:hAnsi="Times New Roman"/>
          <w:sz w:val="20"/>
        </w:rPr>
      </w:pPr>
      <w:r>
        <w:rPr>
          <w:rFonts w:ascii="Times New Roman" w:hAnsi="Times New Roman"/>
          <w:color w:val="000000"/>
          <w:sz w:val="22"/>
          <w:u w:val="single"/>
        </w:rPr>
        <w:t>Sale Event Acceleration</w:t>
      </w:r>
      <w:r>
        <w:rPr>
          <w:rFonts w:ascii="Times New Roman" w:hAnsi="Times New Roman"/>
          <w:color w:val="000000"/>
          <w:sz w:val="22"/>
        </w:rPr>
        <w:t>. In the event of a Sale Event (as defined in the Company’s 2023 Stock Option and Incentive Plan, as amended from time to time (the “2023 Plan”)), the equity retainer awards granted to Outside Directors pursuant to this Policy shall become 100% vested and exercisable.</w:t>
      </w:r>
    </w:p>
    <w:p>
      <w:pPr>
        <w:pStyle w:val="TextBody"/>
        <w:bidi w:val="0"/>
        <w:spacing w:before="239" w:after="283"/>
        <w:jc w:val="both"/>
        <w:rPr>
          <w:rFonts w:ascii="Times New Roman" w:hAnsi="Times New Roman"/>
          <w:sz w:val="20"/>
        </w:rPr>
      </w:pPr>
      <w:r>
        <w:rPr>
          <w:rFonts w:ascii="Times New Roman" w:hAnsi="Times New Roman"/>
          <w:color w:val="000000"/>
          <w:sz w:val="22"/>
          <w:u w:val="single"/>
        </w:rPr>
        <w:t>Initial Grant</w:t>
      </w:r>
      <w:r>
        <w:rPr>
          <w:rFonts w:ascii="Times New Roman" w:hAnsi="Times New Roman"/>
          <w:color w:val="000000"/>
          <w:sz w:val="22"/>
        </w:rPr>
        <w:t>. Upon initial election to the Board of Directors, each new Outside Director will receive an initial, one-time grant of a non-statutory stock option (the “</w:t>
      </w:r>
      <w:r>
        <w:rPr>
          <w:rFonts w:ascii="Times New Roman" w:hAnsi="Times New Roman"/>
          <w:color w:val="000000"/>
          <w:sz w:val="22"/>
          <w:u w:val="single"/>
        </w:rPr>
        <w:t>Initial Grant</w:t>
      </w:r>
      <w:r>
        <w:rPr>
          <w:rFonts w:ascii="Times New Roman" w:hAnsi="Times New Roman"/>
          <w:color w:val="000000"/>
          <w:sz w:val="20"/>
        </w:rPr>
        <w:t>”</w:t>
      </w:r>
      <w:r>
        <w:rPr>
          <w:rFonts w:ascii="Times New Roman" w:hAnsi="Times New Roman"/>
          <w:color w:val="000000"/>
          <w:sz w:val="22"/>
        </w:rPr>
        <w:t>) to purchase a number of shares of Common Stock equal to approximately 0.128% of the Outstanding Shares on the grant date (rounded down to the nearest whole share) with an exercise price per share equal to the closing price of a share of Common Stock on the date of grant and a term of ten years, that vests in three equal annual installments over three years; provided, however, that all vesting ceases if the Outside Director resigns from our Board of Directors or otherwise ceases to serve as a director, unless the Board of Directors determines that the circumstances warrant continuation or acceleration of vesting. This Initial Grant applies to Outside Directors who are first elected to the Board of Directors effective as of or subsequent to the Effective Date.</w:t>
      </w:r>
    </w:p>
    <w:p>
      <w:pPr>
        <w:pStyle w:val="TextBody"/>
        <w:bidi w:val="0"/>
        <w:spacing w:before="241" w:after="283"/>
        <w:jc w:val="both"/>
        <w:rPr>
          <w:rFonts w:ascii="Times New Roman" w:hAnsi="Times New Roman"/>
          <w:sz w:val="20"/>
        </w:rPr>
      </w:pPr>
      <w:r>
        <w:rPr>
          <w:rFonts w:ascii="Times New Roman" w:hAnsi="Times New Roman"/>
          <w:color w:val="000000"/>
          <w:sz w:val="22"/>
          <w:u w:val="single"/>
        </w:rPr>
        <w:t>Annual Grant</w:t>
      </w:r>
      <w:r>
        <w:rPr>
          <w:rFonts w:ascii="Times New Roman" w:hAnsi="Times New Roman"/>
          <w:color w:val="000000"/>
          <w:sz w:val="22"/>
        </w:rPr>
        <w:t>. On the date of the Company’s Annual Meeting of Stockholders, each Outside Director who (i) has been serving as an Outside Director for at least six months as of such date and (ii) who will continue as a member of the Board of Directors following such Annual Meeting of Stockholders will receive a grant of a non-statutory stock option (the “</w:t>
      </w:r>
      <w:r>
        <w:rPr>
          <w:rFonts w:ascii="Times New Roman" w:hAnsi="Times New Roman"/>
          <w:color w:val="000000"/>
          <w:sz w:val="22"/>
          <w:u w:val="single"/>
        </w:rPr>
        <w:t>Annual Grant</w:t>
      </w:r>
      <w:r>
        <w:rPr>
          <w:rFonts w:ascii="Times New Roman" w:hAnsi="Times New Roman"/>
          <w:color w:val="000000"/>
          <w:sz w:val="20"/>
        </w:rPr>
        <w:t>”</w:t>
      </w:r>
      <w:r>
        <w:rPr>
          <w:rFonts w:ascii="Times New Roman" w:hAnsi="Times New Roman"/>
          <w:color w:val="000000"/>
          <w:sz w:val="22"/>
        </w:rPr>
        <w:t>) to purchase a number of shares of Common Stock equal to approximately 0.064% of the Outstanding Shares on the grant date (rounded down to the nearest whole share) with an exercise price per share equal to the closing price of a share of Common Stock on the date of grant and a term of ten years, that vests in full on the earlier of (A) the one-year anniversary of the grant date or (B) the next Annual Meeting of Stockholders; provided, however, that all vesting ceases if the Outside Director resigns from our Board of Directors or otherwise ceases to serve as a director, unless the Board of Directors determines that the circumstances warrant continuation or acceleration of vesting.</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III.</w:t>
      </w:r>
    </w:p>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Expenses</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The Company will reimburse all reasonable out-of-pocket expenses incurred by Outside Directors in attending meetings of the Board of Directors or any Committee thereof.</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IV.</w:t>
      </w:r>
    </w:p>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Maximum Annual Compensation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The aggregate amount of compensation, including both equity compensation and cash compensation, paid to any Outside Director for services as an Outside Director in a calendar year period shall not exceed (i)</w:t>
      </w:r>
    </w:p>
    <w:p>
      <w:pPr>
        <w:pStyle w:val="TextBody"/>
        <w:bidi w:val="0"/>
        <w:jc w:val="both"/>
        <w:rPr>
          <w:rFonts w:ascii="Times New Roman" w:hAnsi="Times New Roman"/>
          <w:color w:val="000000"/>
          <w:sz w:val="22"/>
        </w:rPr>
      </w:pPr>
      <w:r>
        <w:rPr>
          <w:rFonts w:ascii="Times New Roman" w:hAnsi="Times New Roman"/>
          <w:color w:val="000000"/>
          <w:sz w:val="22"/>
        </w:rPr>
        <w:t>$1,000,000 in the first calendar year an individual becomes an Outside Director and (ii) $750,000 in any other year (or in each case, such other limits as may be set forth in Section 3(b) of the 2023 Plan or any similar provision of a successor plan). For this purpose, the “amount” of equity compensation paid in a calendar year shall be determined based on the grant date fair value thereof, as determined in accordance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with ASC Topic 718 or its successor provision, but excluding the impact of estimated forfeitures related to service-based vesting conditions.</w:t>
      </w:r>
    </w:p>
    <w:p>
      <w:pPr>
        <w:pStyle w:val="TextBody"/>
        <w:bidi w:val="0"/>
        <w:jc w:val="left"/>
        <w:rPr/>
      </w:pPr>
      <w:r>
        <w:rPr/>
        <w:t> </w:t>
      </w:r>
    </w:p>
    <w:p>
      <w:pPr>
        <w:pStyle w:val="TextBody"/>
        <w:bidi w:val="0"/>
        <w:spacing w:before="228" w:after="283"/>
        <w:jc w:val="left"/>
        <w:rPr/>
      </w:pPr>
      <w:r>
        <w:rPr/>
        <w:t> </w:t>
      </w:r>
    </w:p>
    <w:p>
      <w:pPr>
        <w:pStyle w:val="TextBody"/>
        <w:bidi w:val="0"/>
        <w:jc w:val="left"/>
        <w:rPr>
          <w:rFonts w:ascii="Times New Roman" w:hAnsi="Times New Roman"/>
          <w:sz w:val="20"/>
        </w:rPr>
      </w:pPr>
      <w:r>
        <w:rPr>
          <w:rFonts w:ascii="Times New Roman" w:hAnsi="Times New Roman"/>
          <w:b/>
          <w:color w:val="000000"/>
          <w:sz w:val="22"/>
        </w:rPr>
        <w:t>Date Policy Approved</w:t>
      </w:r>
      <w:r>
        <w:rPr>
          <w:rFonts w:ascii="Times New Roman" w:hAnsi="Times New Roman"/>
          <w:color w:val="000000"/>
          <w:sz w:val="22"/>
        </w:rPr>
        <w:t>: April 8,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6" w:name="krro-ex10_3.htm"/>
      <w:bookmarkStart w:id="27" w:name="kskrroex10_3"/>
      <w:bookmarkEnd w:id="26"/>
      <w:bookmarkEnd w:id="27"/>
      <w:r>
        <w:rPr/>
        <w:t> </w:t>
      </w:r>
      <w:r>
        <w:br w:type="page"/>
      </w:r>
    </w:p>
    <w:p>
      <w:pPr>
        <w:pStyle w:val="Heading1"/>
        <w:bidi w:val="0"/>
        <w:spacing w:before="80" w:after="283"/>
        <w:jc w:val="right"/>
        <w:rPr>
          <w:rFonts w:ascii="Times New Roman" w:hAnsi="Times New Roman"/>
          <w:b w:val="false"/>
          <w:color w:val="000000"/>
          <w:sz w:val="20"/>
        </w:rPr>
      </w:pPr>
      <w:r>
        <w:rPr>
          <w:rFonts w:ascii="Times New Roman" w:hAnsi="Times New Roman"/>
          <w:b w:val="false"/>
          <w:color w:val="000000"/>
          <w:sz w:val="20"/>
        </w:rPr>
        <w:t>Exhibit 10.3</w:t>
      </w:r>
    </w:p>
    <w:p>
      <w:pPr>
        <w:pStyle w:val="TextBody"/>
        <w:bidi w:val="0"/>
        <w:jc w:val="center"/>
        <w:rPr/>
      </w:pPr>
      <w:r>
        <w:rPr/>
        <w:t> </w:t>
      </w:r>
    </w:p>
    <w:p>
      <w:pPr>
        <w:pStyle w:val="TextBody"/>
        <w:bidi w:val="0"/>
        <w:jc w:val="center"/>
        <w:rPr>
          <w:rFonts w:ascii="Times New Roman" w:hAnsi="Times New Roman"/>
          <w:b/>
          <w:caps/>
          <w:color w:val="000000"/>
          <w:sz w:val="22"/>
          <w:u w:val="single"/>
        </w:rPr>
      </w:pPr>
      <w:r>
        <w:rPr>
          <w:rFonts w:ascii="Times New Roman" w:hAnsi="Times New Roman"/>
          <w:b/>
          <w:caps/>
          <w:color w:val="000000"/>
          <w:sz w:val="22"/>
          <w:u w:val="single"/>
        </w:rPr>
        <w:t>CONSULTING AGREEMENT</w:t>
      </w:r>
    </w:p>
    <w:p>
      <w:pPr>
        <w:pStyle w:val="TextBody"/>
        <w:bidi w:val="0"/>
        <w:spacing w:before="240" w:after="283"/>
        <w:jc w:val="both"/>
        <w:rPr>
          <w:rFonts w:ascii="Times New Roman" w:hAnsi="Times New Roman"/>
          <w:sz w:val="20"/>
        </w:rPr>
      </w:pPr>
      <w:r>
        <w:rPr>
          <w:rFonts w:ascii="Times New Roman" w:hAnsi="Times New Roman"/>
          <w:b/>
          <w:color w:val="000000"/>
          <w:sz w:val="22"/>
        </w:rPr>
        <w:t>THIS CONSULTING AGREEMENT</w:t>
      </w:r>
      <w:r>
        <w:rPr>
          <w:rFonts w:ascii="Times New Roman" w:hAnsi="Times New Roman"/>
          <w:color w:val="000000"/>
          <w:sz w:val="20"/>
        </w:rPr>
        <w:t xml:space="preserve"> </w:t>
      </w:r>
      <w:r>
        <w:rPr>
          <w:rFonts w:ascii="Times New Roman" w:hAnsi="Times New Roman"/>
          <w:color w:val="000000"/>
          <w:sz w:val="22"/>
        </w:rPr>
        <w:t xml:space="preserve">(together with the attached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Business Terms Exhibit</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Data Privacy Exhibit</w:t>
      </w:r>
      <w:r>
        <w:rPr>
          <w:rFonts w:ascii="Times New Roman" w:hAnsi="Times New Roman"/>
          <w:color w:val="000000"/>
          <w:sz w:val="20"/>
        </w:rPr>
        <w:t>”</w:t>
      </w:r>
      <w:r>
        <w:rPr>
          <w:rFonts w:ascii="Times New Roman" w:hAnsi="Times New Roman"/>
          <w:color w:val="000000"/>
          <w:sz w:val="22"/>
        </w:rPr>
        <w:t>), the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effective as of April 9, 2026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by and between Korro Bio, Inc., a Delaware corporation with a principal business address at 60 First Street, 2</w:t>
      </w:r>
      <w:r>
        <w:rPr>
          <w:rFonts w:ascii="Times New Roman" w:hAnsi="Times New Roman"/>
          <w:color w:val="000000"/>
          <w:sz w:val="15"/>
        </w:rPr>
        <w:t>nd</w:t>
      </w:r>
      <w:r>
        <w:rPr>
          <w:rFonts w:ascii="Times New Roman" w:hAnsi="Times New Roman"/>
          <w:color w:val="000000"/>
          <w:sz w:val="20"/>
        </w:rPr>
        <w:t xml:space="preserve"> </w:t>
      </w:r>
      <w:r>
        <w:rPr>
          <w:rFonts w:ascii="Times New Roman" w:hAnsi="Times New Roman"/>
          <w:color w:val="000000"/>
          <w:sz w:val="22"/>
        </w:rPr>
        <w:t>Floor, Suite 250, Cambridge, MA 02141 (“</w:t>
      </w:r>
      <w:r>
        <w:rPr>
          <w:rFonts w:ascii="Times New Roman" w:hAnsi="Times New Roman"/>
          <w:b/>
          <w:color w:val="000000"/>
          <w:sz w:val="22"/>
        </w:rPr>
        <w:t>Korro</w:t>
      </w:r>
      <w:r>
        <w:rPr>
          <w:rFonts w:ascii="Times New Roman" w:hAnsi="Times New Roman"/>
          <w:color w:val="000000"/>
          <w:sz w:val="20"/>
        </w:rPr>
        <w:t>”</w:t>
      </w:r>
      <w:r>
        <w:rPr>
          <w:rFonts w:ascii="Times New Roman" w:hAnsi="Times New Roman"/>
          <w:color w:val="000000"/>
          <w:sz w:val="22"/>
        </w:rPr>
        <w:t>), and Rachel Meyers, Ph.D. with an address at [Address omitted] (“</w:t>
      </w:r>
      <w:r>
        <w:rPr>
          <w:rFonts w:ascii="Times New Roman" w:hAnsi="Times New Roman"/>
          <w:b/>
          <w:color w:val="000000"/>
          <w:sz w:val="22"/>
        </w:rPr>
        <w:t>Consultant</w:t>
      </w:r>
      <w:r>
        <w:rPr>
          <w:rFonts w:ascii="Times New Roman" w:hAnsi="Times New Roman"/>
          <w:color w:val="000000"/>
          <w:sz w:val="20"/>
        </w:rPr>
        <w:t>”</w:t>
      </w:r>
      <w:r>
        <w:rPr>
          <w:rFonts w:ascii="Times New Roman" w:hAnsi="Times New Roman"/>
          <w:color w:val="000000"/>
          <w:sz w:val="22"/>
        </w:rPr>
        <w:t>). Korro desires to have the benefit of Consultant’s knowledge and experience, and Consultant desires to provide services to Korro, all as provided in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w:t>
      </w:r>
    </w:p>
    <w:p>
      <w:pPr>
        <w:pStyle w:val="TextBody"/>
        <w:bidi w:val="0"/>
        <w:spacing w:before="240" w:after="283"/>
        <w:jc w:val="both"/>
        <w:rPr/>
      </w:pPr>
      <w:r>
        <w:rPr>
          <w:rFonts w:ascii="Times New Roman" w:hAnsi="Times New Roman"/>
          <w:b/>
          <w:color w:val="000000"/>
          <w:sz w:val="22"/>
          <w:u w:val="single"/>
        </w:rPr>
        <w:t>Services</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Korro retains Consultant, and Consultant agrees to provide, consulting and advisory services to Korro as Korro may from time to time reasonably request and as specified in the </w:t>
      </w:r>
      <w:r>
        <w:rPr>
          <w:rFonts w:ascii="Times New Roman" w:hAnsi="Times New Roman"/>
          <w:color w:val="000000"/>
          <w:sz w:val="22"/>
          <w:u w:val="single"/>
        </w:rPr>
        <w:t>Business Terms Exhibit</w:t>
      </w:r>
      <w:r>
        <w:rPr>
          <w:color w:val="000000"/>
        </w:rPr>
        <w:t xml:space="preserve"> </w:t>
      </w:r>
      <w:r>
        <w:rPr>
          <w:rFonts w:ascii="Times New Roman" w:hAnsi="Times New Roman"/>
          <w:color w:val="000000"/>
          <w:sz w:val="22"/>
        </w:rPr>
        <w:t>(the “</w:t>
      </w:r>
      <w:r>
        <w:rPr>
          <w:rFonts w:ascii="Times New Roman" w:hAnsi="Times New Roman"/>
          <w:b/>
          <w:color w:val="000000"/>
          <w:sz w:val="22"/>
        </w:rPr>
        <w:t>Consulting Services</w:t>
      </w:r>
      <w:r>
        <w:rPr>
          <w:color w:val="000000"/>
        </w:rPr>
        <w:t>”</w:t>
      </w:r>
      <w:r>
        <w:rPr>
          <w:rFonts w:ascii="Times New Roman" w:hAnsi="Times New Roman"/>
          <w:color w:val="000000"/>
          <w:sz w:val="22"/>
        </w:rPr>
        <w:t>). Any changes to the Consulting Services (and any related compensation adjustments) must be agreed to in writing between Consultant and Korro prior to implementation of the changes.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w:t>
      </w:r>
    </w:p>
    <w:p>
      <w:pPr>
        <w:pStyle w:val="TextBody"/>
        <w:bidi w:val="0"/>
        <w:spacing w:before="240" w:after="283"/>
        <w:jc w:val="both"/>
        <w:rPr/>
      </w:pPr>
      <w:r>
        <w:rPr>
          <w:rFonts w:ascii="Times New Roman" w:hAnsi="Times New Roman"/>
          <w:b/>
          <w:color w:val="000000"/>
          <w:sz w:val="22"/>
          <w:u w:val="single"/>
        </w:rPr>
        <w:t>Compensation</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As full consideration for Consulting Services provided under this Agreement, Korro agrees to pay Consultant and reimburse expenses as described in the </w:t>
      </w:r>
      <w:r>
        <w:rPr>
          <w:rFonts w:ascii="Times New Roman" w:hAnsi="Times New Roman"/>
          <w:color w:val="000000"/>
          <w:sz w:val="22"/>
          <w:u w:val="single"/>
        </w:rPr>
        <w:t>Business Terms Exhibit</w:t>
      </w:r>
      <w:r>
        <w:rPr>
          <w:rFonts w:ascii="Times New Roman" w:hAnsi="Times New Roman"/>
          <w:color w:val="000000"/>
          <w:sz w:val="22"/>
        </w:rPr>
        <w:t xml:space="preserv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3.</w:t>
      </w:r>
    </w:p>
    <w:p>
      <w:pPr>
        <w:pStyle w:val="TextBody"/>
        <w:bidi w:val="0"/>
        <w:spacing w:before="240" w:after="283"/>
        <w:jc w:val="both"/>
        <w:rPr/>
      </w:pPr>
      <w:r>
        <w:rPr>
          <w:rFonts w:ascii="Times New Roman" w:hAnsi="Times New Roman"/>
          <w:b/>
          <w:color w:val="000000"/>
          <w:sz w:val="22"/>
          <w:u w:val="single"/>
        </w:rPr>
        <w:t>Performance</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Consultant agrees to provide the Consulting Services to Korro, or to its designee, in accordance with all applicable laws and regulations, the highest professional standards, and applicable policies and procedures of Korro, including Korro’s insider trading policy, a copy of which is attached as </w:t>
      </w:r>
      <w:r>
        <w:rPr>
          <w:rFonts w:ascii="Times New Roman" w:hAnsi="Times New Roman"/>
          <w:color w:val="000000"/>
          <w:sz w:val="22"/>
          <w:u w:val="single"/>
        </w:rPr>
        <w:t>Exhibit C</w:t>
      </w:r>
      <w:r>
        <w:rPr>
          <w:color w:val="000000"/>
        </w:rPr>
        <w:t xml:space="preserve"> </w:t>
      </w:r>
      <w:r>
        <w:rPr>
          <w:rFonts w:ascii="Times New Roman" w:hAnsi="Times New Roman"/>
          <w:color w:val="000000"/>
          <w:sz w:val="22"/>
        </w:rPr>
        <w:t>(“</w:t>
      </w:r>
      <w:r>
        <w:rPr>
          <w:rFonts w:ascii="Times New Roman" w:hAnsi="Times New Roman"/>
          <w:b/>
          <w:color w:val="000000"/>
          <w:sz w:val="22"/>
        </w:rPr>
        <w:t>Insider Trading Policy</w:t>
      </w:r>
      <w:r>
        <w:rPr>
          <w:color w:val="000000"/>
        </w:rPr>
        <w:t>”</w:t>
      </w:r>
      <w:r>
        <w:rPr>
          <w:rFonts w:ascii="Times New Roman" w:hAnsi="Times New Roman"/>
          <w:color w:val="000000"/>
          <w:sz w:val="22"/>
        </w:rPr>
        <w:t>). Consultant will sign the Insider Trading Policy to affirm review and compliance with its terms and conditions. Consultant represents and warrants that Consultant has not been, and is not under consideration to be (a) debarred from providing services pursuant to Section 306 of the United States Federal Food Drug and Cosmetic Act, 21 U.S.C. § 335a; (b) excluded, debarred or suspended from, or otherwise ineligible to participate in, any federal or state health care program or federal procurement or non-procurement programs (as that term is defined in 42 U.S.C. § 1320a-7b(f)); (c) disqualified by any government or regulatory agencies from performing specific services, and is not subject to a pending disqualification proceeding; or (d) convicted of a criminal offense related to the provision of health care items or services, or under investigation or subject to any such action that is pending.</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4.</w:t>
      </w:r>
    </w:p>
    <w:p>
      <w:pPr>
        <w:pStyle w:val="TextBody"/>
        <w:bidi w:val="0"/>
        <w:spacing w:before="240" w:after="283"/>
        <w:jc w:val="both"/>
        <w:rPr/>
      </w:pPr>
      <w:r>
        <w:rPr>
          <w:rFonts w:ascii="Times New Roman" w:hAnsi="Times New Roman"/>
          <w:b/>
          <w:color w:val="000000"/>
          <w:sz w:val="22"/>
          <w:u w:val="single"/>
        </w:rPr>
        <w:t>Compliance with Obligations to Third Parties</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Consultant represents and warrants to Korro that the terms of this Agreement and Consultant’s performance of Consulting Services do not and will not conflict with any of Consultant’s obligations to any third parties. Consultant agrees not to use any trade secrets or other confidential information of any other person, firm, corporation, institution or other third party in connection with any of the Consulting Services. If Consultant is an employee of another company or institution, Consultant represents and warrants that Consultant is permitted to enter into this Agreement pursuant to such company’s or institution’s policies concerning professional consulting, additional workload and/or assignment of rights to intellectual property arising from Consulting Services to Korro or a third party. Further, if Consultant is an employee of a nonprofit college, hospital, university or other nonprofit research institution and to the extent Consultant is subject to any policy of such nonprofit college, hospital, university or other nonprofit research institution that requires approval of agreements governing external consulting services, Consultant further represents that such approval has been given and warrants that such approval will be obtained prior to entering into any amendment to this Agreement requiring such approval. Consultant agrees not to make any use of any funds, space, personnel, facilities, equipment or other resources of a third party in performing the Consulting Services, nor take any other action that </w:t>
      </w:r>
    </w:p>
    <w:p>
      <w:pPr>
        <w:pStyle w:val="TextBody"/>
        <w:bidi w:val="0"/>
        <w:jc w:val="both"/>
        <w:rPr>
          <w:rFonts w:ascii="Times New Roman" w:hAnsi="Times New Roman"/>
          <w:b/>
          <w:color w:val="000000"/>
          <w:sz w:val="20"/>
        </w:rPr>
      </w:pPr>
      <w:r>
        <w:rPr>
          <w:rFonts w:ascii="Times New Roman" w:hAnsi="Times New Roman"/>
          <w:b/>
          <w:color w:val="000000"/>
          <w:sz w:val="20"/>
        </w:rPr>
        <w:t>CONFIDENTIAL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would result in a third party asserting ownership of, or other rights in, any Work Product (defined in Section 5), unless agreed upon in writing in advance by Korro.</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w:t>
      </w:r>
    </w:p>
    <w:p>
      <w:pPr>
        <w:pStyle w:val="TextBody"/>
        <w:bidi w:val="0"/>
        <w:spacing w:before="240" w:after="283"/>
        <w:jc w:val="both"/>
        <w:rPr/>
      </w:pPr>
      <w:r>
        <w:rPr>
          <w:rFonts w:ascii="Times New Roman" w:hAnsi="Times New Roman"/>
          <w:b/>
          <w:color w:val="000000"/>
          <w:sz w:val="22"/>
          <w:u w:val="single"/>
        </w:rPr>
        <w:t>Work Product</w:t>
      </w:r>
      <w:r>
        <w:rPr>
          <w:rFonts w:ascii="Times New Roman" w:hAnsi="Times New Roman"/>
          <w:b/>
          <w:color w:val="000000"/>
          <w:sz w:val="22"/>
        </w:rPr>
        <w:t>.</w:t>
      </w:r>
      <w:r>
        <w:rPr>
          <w:color w:val="000000"/>
        </w:rPr>
        <w:t xml:space="preserve"> </w:t>
      </w:r>
      <w:r>
        <w:rPr>
          <w:rFonts w:ascii="Times New Roman" w:hAnsi="Times New Roman"/>
          <w:color w:val="000000"/>
          <w:sz w:val="22"/>
        </w:rPr>
        <w:t>Consultant will promptly and fully disclose in confidence to Korro all inventions, discoveries, improvements, ideas, concepts, designs, processes, formulations, products, computer programs, works of authorship, databases, mask works, trade secrets, know-how, information, data, documentation, reports, research, creations and other products arising from or made in the performance of (solely or jointly with others) the Consulting Services (whether or not patentable or subject to copyright or trade secret protection) (collectively, the “</w:t>
      </w:r>
      <w:r>
        <w:rPr>
          <w:rFonts w:ascii="Times New Roman" w:hAnsi="Times New Roman"/>
          <w:b/>
          <w:color w:val="000000"/>
          <w:sz w:val="22"/>
        </w:rPr>
        <w:t>Work Product</w:t>
      </w:r>
      <w:r>
        <w:rPr>
          <w:color w:val="000000"/>
        </w:rPr>
        <w:t>”</w:t>
      </w:r>
      <w:r>
        <w:rPr>
          <w:rFonts w:ascii="Times New Roman" w:hAnsi="Times New Roman"/>
          <w:color w:val="000000"/>
          <w:sz w:val="22"/>
        </w:rPr>
        <w:t>). Consultant assigns and agrees to assign to Korro all rights in the United States and throughout the world to Work Product. Consultant will keep and maintain adequate and current written records of all Work Product, and such records will be available to and remain the sole property of Korro at all times. For purposes of the copyright laws of the United States, Work Product will constitute “works made for hire,” except to the extent such Work Product cannot by law be “works made for hire”. Consultant represents and warrants that Consultant has and will have the right to transfer and assign to Korro ownership of all Work Product. Consultant will execute all documents, and take any and all actions needed, all without further consideration, in order to confirm Korro’s rights as outlined above. In the event that Consultant should fail or refuse to execute such documents within a reasonable time, Consultant appoints Korro as attorney to execute and deliver any such documents on Consultant’s behalf.</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w:t>
      </w:r>
    </w:p>
    <w:p>
      <w:pPr>
        <w:pStyle w:val="TextBody"/>
        <w:bidi w:val="0"/>
        <w:spacing w:before="240" w:after="283"/>
        <w:jc w:val="both"/>
        <w:rPr/>
      </w:pPr>
      <w:r>
        <w:rPr>
          <w:rFonts w:ascii="Times New Roman" w:hAnsi="Times New Roman"/>
          <w:b/>
          <w:color w:val="000000"/>
          <w:sz w:val="22"/>
          <w:u w:val="single"/>
        </w:rPr>
        <w:t>Confidentiality</w:t>
      </w:r>
      <w:r>
        <w:rPr>
          <w:rFonts w:ascii="Times New Roman" w:hAnsi="Times New Roman"/>
          <w:b/>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6.1</w:t>
      </w:r>
    </w:p>
    <w:p>
      <w:pPr>
        <w:pStyle w:val="TextBody"/>
        <w:bidi w:val="0"/>
        <w:spacing w:before="240" w:after="283"/>
        <w:jc w:val="both"/>
        <w:rPr/>
      </w:pPr>
      <w:r>
        <w:rPr>
          <w:rFonts w:ascii="Times New Roman" w:hAnsi="Times New Roman"/>
          <w:color w:val="000000"/>
          <w:sz w:val="22"/>
          <w:u w:val="single"/>
        </w:rPr>
        <w:t>Definition</w:t>
      </w:r>
      <w:r>
        <w:rPr>
          <w:rFonts w:ascii="Times New Roman" w:hAnsi="Times New Roman"/>
          <w:color w:val="000000"/>
          <w:sz w:val="22"/>
        </w:rPr>
        <w:t>. “</w:t>
      </w:r>
      <w:r>
        <w:rPr>
          <w:rFonts w:ascii="Times New Roman" w:hAnsi="Times New Roman"/>
          <w:b/>
          <w:color w:val="000000"/>
          <w:sz w:val="22"/>
        </w:rPr>
        <w:t>Confidential Information</w:t>
      </w:r>
      <w:r>
        <w:rPr>
          <w:color w:val="000000"/>
        </w:rPr>
        <w:t xml:space="preserve">” </w:t>
      </w:r>
      <w:r>
        <w:rPr>
          <w:rFonts w:ascii="Times New Roman" w:hAnsi="Times New Roman"/>
          <w:color w:val="000000"/>
          <w:sz w:val="22"/>
        </w:rPr>
        <w:t>means (a) any non-public scientific, technical, business or financial information or trade secrets in whatever form (written, oral or visual) that is furnished or made available to Consultant by or on behalf of Korro; (b) all information contained in or comprised of Korro Materials (defined in Section 7); and (c) all Work Product. Confidential Information is, and will remain, the sole property of Korro.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6.2</w:t>
      </w:r>
    </w:p>
    <w:p>
      <w:pPr>
        <w:pStyle w:val="TextBody"/>
        <w:bidi w:val="0"/>
        <w:spacing w:before="240" w:after="283"/>
        <w:jc w:val="both"/>
        <w:rPr/>
      </w:pPr>
      <w:r>
        <w:rPr>
          <w:rFonts w:ascii="Times New Roman" w:hAnsi="Times New Roman"/>
          <w:color w:val="000000"/>
          <w:sz w:val="22"/>
          <w:u w:val="single"/>
        </w:rPr>
        <w:t>Obligations</w:t>
      </w:r>
      <w:r>
        <w:rPr>
          <w:rFonts w:ascii="Times New Roman" w:hAnsi="Times New Roman"/>
          <w:color w:val="000000"/>
          <w:sz w:val="22"/>
        </w:rPr>
        <w:t>. During the Term (as defined in Section 11) and for a period of five (5) years thereafter, Consultant agrees to (a) hold in confidence all Confidential Information, and not disclose Confidential Information without the prior written consent of Korro; (b) use Confidential Information solely in connection with the Consulting Services; (c) treat Confidential Information with no less than a reasonable degree of care; (d) reproduce Confidential Information solely to the extent necessary to provide the Consulting Services, with all such reproductions being considered Confidential Information; and (e) notify Korro of any unauthorized disclosure of Confidential Information promptly upon becoming aware of such disclosure. Notwithstanding the foregoing, the non-disclosure and non-use obligations imposed by this Agreement with respect to trade secrets included in the Confidential Information will continue for as long as Korro continues to treat such Confidential Information as a trade secret. If Consultant is required by a governmental authority or by order of a court of competent jurisdiction to disclose any Confidential Information, Consultant will give Korro prompt written notice thereof and Consultant will take all reasonable and lawful actions to avoid or minimize the degree of such disclosure. Consultant will cooperate reasonably with Korro in any efforts to seek a protective order.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6.3</w:t>
      </w:r>
    </w:p>
    <w:p>
      <w:pPr>
        <w:pStyle w:val="TextBody"/>
        <w:bidi w:val="0"/>
        <w:spacing w:before="240" w:after="283"/>
        <w:jc w:val="both"/>
        <w:rPr/>
      </w:pPr>
      <w:r>
        <w:rPr>
          <w:rFonts w:ascii="Times New Roman" w:hAnsi="Times New Roman"/>
          <w:color w:val="000000"/>
          <w:sz w:val="22"/>
          <w:u w:val="single"/>
        </w:rPr>
        <w:t>Exceptions</w:t>
      </w:r>
      <w:r>
        <w:rPr>
          <w:rFonts w:ascii="Times New Roman" w:hAnsi="Times New Roman"/>
          <w:color w:val="000000"/>
          <w:sz w:val="22"/>
        </w:rPr>
        <w:t>. Consultant’s obligations of non-disclosure and non-use under this Agreement will not apply to any portion of Confidential Information that Consultant can demonstrate, by competent proof:</w:t>
      </w:r>
    </w:p>
    <w:p>
      <w:pPr>
        <w:pStyle w:val="TextBody"/>
        <w:bidi w:val="0"/>
        <w:jc w:val="both"/>
        <w:rPr>
          <w:rFonts w:ascii="Times New Roman" w:hAnsi="Times New Roman"/>
          <w:sz w:val="20"/>
        </w:rPr>
      </w:pPr>
      <w:r>
        <w:rPr>
          <w:rFonts w:ascii="Times New Roman" w:hAnsi="Times New Roman"/>
          <w:b/>
          <w:color w:val="000000"/>
          <w:sz w:val="20"/>
        </w:rPr>
        <w:t>CONFIDENTIAL</w:t>
      </w:r>
      <w:r>
        <w:rPr>
          <w:rFonts w:ascii="Times New Roman" w:hAnsi="Times New Roman"/>
          <w:color w:val="000000"/>
          <w:sz w:val="20"/>
        </w:rPr>
        <w:t xml:space="preserve"> Page 2 of 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 generally known to the public at the time of disclosure or becomes generally known through no wrongful act on the part of Consultant;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 in Consultant’s possession at the time of disclosure other than as a result of Consultant’s breach of any legal obligation;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becomes known to Consultant on a non-confidential basis through disclosure by sources other than Korro having the legal right to disclose such Confidential Information;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 independently developed by Consultant without reference to or reliance upon Confidential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6.4</w:t>
      </w:r>
    </w:p>
    <w:p>
      <w:pPr>
        <w:pStyle w:val="TextBody"/>
        <w:bidi w:val="0"/>
        <w:spacing w:before="240" w:after="283"/>
        <w:jc w:val="both"/>
        <w:rPr/>
      </w:pPr>
      <w:r>
        <w:rPr>
          <w:rFonts w:ascii="Times New Roman" w:hAnsi="Times New Roman"/>
          <w:color w:val="000000"/>
          <w:sz w:val="22"/>
          <w:u w:val="single"/>
        </w:rPr>
        <w:t>Defend Trade Secrets Act</w:t>
      </w:r>
      <w:r>
        <w:rPr>
          <w:rFonts w:ascii="Times New Roman" w:hAnsi="Times New Roman"/>
          <w:color w:val="000000"/>
          <w:sz w:val="22"/>
        </w:rPr>
        <w:t>. Korro provides notice to Consultant that pursuant to the United States Defend Trade Secrets Act of 2016, an individual: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will not be held criminally or civilly liable under any United States federal or state trade secret law for the disclosure of a trade secret that is made (i) in confidence to a federal, state, or local government official or to an attorney, and solely for the purpose of reporting or investigating a suspected violation of law; or (ii) in a complaint or other document filed in a lawsuit or other proceeding, if such filing is made under seal;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who files a lawsuit for retaliation by an employer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addition, this Agreement does not prohibit Consultant from participating in or cooperating with any government investigation or proceeding, nor does this Agreement restrict Consultant from disclosing Confidential Information to government agencies in a reasonable manner when permitted by applicable state or federal “whistleblower” or other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6.5</w:t>
      </w:r>
    </w:p>
    <w:p>
      <w:pPr>
        <w:pStyle w:val="TextBody"/>
        <w:bidi w:val="0"/>
        <w:spacing w:before="240" w:after="283"/>
        <w:jc w:val="both"/>
        <w:rPr/>
      </w:pPr>
      <w:r>
        <w:rPr>
          <w:rFonts w:ascii="Times New Roman" w:hAnsi="Times New Roman"/>
          <w:color w:val="000000"/>
          <w:sz w:val="22"/>
          <w:u w:val="single"/>
        </w:rPr>
        <w:t>Personal Identifiable Information</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In General</w:t>
      </w:r>
      <w:r>
        <w:rPr>
          <w:rFonts w:ascii="Times New Roman" w:hAnsi="Times New Roman"/>
          <w:color w:val="000000"/>
          <w:sz w:val="22"/>
        </w:rPr>
        <w:t>. Notwithstanding anything to the contrary in this Section 6, to the extent that Consultant may, during or as a result of rendering Consulting Services, have access to any information that could be used to identify an individual (“</w:t>
      </w:r>
      <w:r>
        <w:rPr>
          <w:rFonts w:ascii="Times New Roman" w:hAnsi="Times New Roman"/>
          <w:b/>
          <w:color w:val="000000"/>
          <w:sz w:val="22"/>
        </w:rPr>
        <w:t>Personal Identifiable Information</w:t>
      </w:r>
      <w:r>
        <w:rPr>
          <w:color w:val="000000"/>
        </w:rPr>
        <w:t>”</w:t>
      </w:r>
      <w:r>
        <w:rPr>
          <w:rFonts w:ascii="Times New Roman" w:hAnsi="Times New Roman"/>
          <w:color w:val="000000"/>
          <w:sz w:val="22"/>
        </w:rPr>
        <w:t>), (i) Consultant will not disclose to any third party nor use such Personal Identifiable Information other than to provide the Consulting Services and as long as such disclosure and use is in compliance with applicable law; and (ii) such restrictions on the disclosure and use of Personal Identifiable Information will remain in place for as long as such restrictions are required under applicable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Data Protection</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u w:val="single"/>
        </w:rPr>
        <w:t>Definitions</w:t>
      </w:r>
      <w:r>
        <w:rPr>
          <w:rFonts w:ascii="Times New Roman" w:hAnsi="Times New Roman"/>
          <w:color w:val="000000"/>
          <w:sz w:val="22"/>
        </w:rPr>
        <w:t>. The “</w:t>
      </w:r>
      <w:r>
        <w:rPr>
          <w:rFonts w:ascii="Times New Roman" w:hAnsi="Times New Roman"/>
          <w:b/>
          <w:color w:val="000000"/>
          <w:sz w:val="22"/>
        </w:rPr>
        <w:t>EU GDPR</w:t>
      </w:r>
      <w:r>
        <w:rPr>
          <w:color w:val="000000"/>
        </w:rPr>
        <w:t xml:space="preserve">” </w:t>
      </w:r>
      <w:r>
        <w:rPr>
          <w:rFonts w:ascii="Times New Roman" w:hAnsi="Times New Roman"/>
          <w:color w:val="000000"/>
          <w:sz w:val="22"/>
        </w:rPr>
        <w:t>means the General Data Protection Regulation (EU) 2016/679. The “</w:t>
      </w:r>
      <w:r>
        <w:rPr>
          <w:rFonts w:ascii="Times New Roman" w:hAnsi="Times New Roman"/>
          <w:b/>
          <w:color w:val="000000"/>
          <w:sz w:val="22"/>
        </w:rPr>
        <w:t>UK GDPR</w:t>
      </w:r>
      <w:r>
        <w:rPr>
          <w:color w:val="000000"/>
        </w:rPr>
        <w:t xml:space="preserve">” </w:t>
      </w:r>
      <w:r>
        <w:rPr>
          <w:rFonts w:ascii="Times New Roman" w:hAnsi="Times New Roman"/>
          <w:color w:val="000000"/>
          <w:sz w:val="22"/>
        </w:rPr>
        <w:t xml:space="preserve">means the General Data </w:t>
      </w:r>
    </w:p>
    <w:p>
      <w:pPr>
        <w:pStyle w:val="TextBody"/>
        <w:bidi w:val="0"/>
        <w:jc w:val="both"/>
        <w:rPr>
          <w:rFonts w:ascii="Times New Roman" w:hAnsi="Times New Roman"/>
          <w:sz w:val="20"/>
        </w:rPr>
      </w:pPr>
      <w:r>
        <w:rPr>
          <w:rFonts w:ascii="Times New Roman" w:hAnsi="Times New Roman"/>
          <w:b/>
          <w:color w:val="000000"/>
          <w:sz w:val="20"/>
        </w:rPr>
        <w:t>CONFIDENTIAL</w:t>
      </w:r>
      <w:r>
        <w:rPr>
          <w:rFonts w:ascii="Times New Roman" w:hAnsi="Times New Roman"/>
          <w:color w:val="000000"/>
          <w:sz w:val="20"/>
        </w:rPr>
        <w:t xml:space="preserve"> Page 3 of 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Protection Regulation (EU) 2016/679 of the European Parliament and of the Council of 27th April 2016 as it forms part of the law of England and Wales, Scotland and Northern Ireland by virtue of section 3 of the European Union (Withdrawal) Act 2018 and as amended by the Data Protection, Privacy and Electronic Communications (EU Exit) Regulations 2019. The EU GDPR and the UK GDPR are collectively referred to in this Agreement as the “</w:t>
      </w:r>
      <w:r>
        <w:rPr>
          <w:rFonts w:ascii="Times New Roman" w:hAnsi="Times New Roman"/>
          <w:b/>
          <w:color w:val="000000"/>
          <w:sz w:val="22"/>
        </w:rPr>
        <w:t>GDPR</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u w:val="single"/>
        </w:rPr>
        <w:t>Obligations</w:t>
      </w:r>
      <w:r>
        <w:rPr>
          <w:rFonts w:ascii="Times New Roman" w:hAnsi="Times New Roman"/>
          <w:color w:val="000000"/>
          <w:sz w:val="22"/>
        </w:rPr>
        <w:t xml:space="preserve">. Without limiting the generality of Section 6.5(a), to the extent Consultant may, during or as a result of rendering Consulting Services, have access to Personal Data protected by the GDPR, the terms set forth in the </w:t>
      </w:r>
      <w:r>
        <w:rPr>
          <w:rFonts w:ascii="Times New Roman" w:hAnsi="Times New Roman"/>
          <w:color w:val="000000"/>
          <w:sz w:val="22"/>
          <w:u w:val="single"/>
        </w:rPr>
        <w:t>Data Privacy Exhibit</w:t>
      </w:r>
      <w:r>
        <w:rPr>
          <w:color w:val="000000"/>
        </w:rPr>
        <w:t xml:space="preserve"> </w:t>
      </w:r>
      <w:r>
        <w:rPr>
          <w:rFonts w:ascii="Times New Roman" w:hAnsi="Times New Roman"/>
          <w:color w:val="000000"/>
          <w:sz w:val="22"/>
          <w:u w:val="single"/>
        </w:rPr>
        <w:t>(Exhibit B)</w:t>
      </w:r>
      <w:r>
        <w:rPr>
          <w:color w:val="000000"/>
        </w:rPr>
        <w:t xml:space="preserve"> </w:t>
      </w:r>
      <w:r>
        <w:rPr>
          <w:rFonts w:ascii="Times New Roman" w:hAnsi="Times New Roman"/>
          <w:color w:val="000000"/>
          <w:sz w:val="22"/>
        </w:rPr>
        <w:t>will apply in addition to the other terms and conditions of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7.</w:t>
      </w:r>
    </w:p>
    <w:p>
      <w:pPr>
        <w:pStyle w:val="TextBody"/>
        <w:bidi w:val="0"/>
        <w:spacing w:before="240" w:after="283"/>
        <w:jc w:val="both"/>
        <w:rPr/>
      </w:pPr>
      <w:r>
        <w:rPr>
          <w:rFonts w:ascii="Times New Roman" w:hAnsi="Times New Roman"/>
          <w:b/>
          <w:color w:val="000000"/>
          <w:sz w:val="22"/>
          <w:u w:val="single"/>
        </w:rPr>
        <w:t>Korro Materials</w:t>
      </w:r>
      <w:r>
        <w:rPr>
          <w:rFonts w:ascii="Times New Roman" w:hAnsi="Times New Roman"/>
          <w:b/>
          <w:color w:val="000000"/>
          <w:sz w:val="22"/>
        </w:rPr>
        <w:t>.</w:t>
      </w:r>
      <w:r>
        <w:rPr>
          <w:color w:val="000000"/>
        </w:rPr>
        <w:t xml:space="preserve"> </w:t>
      </w:r>
      <w:r>
        <w:rPr>
          <w:rFonts w:ascii="Times New Roman" w:hAnsi="Times New Roman"/>
          <w:color w:val="000000"/>
          <w:sz w:val="22"/>
        </w:rPr>
        <w:t>All documents, data, records, materials, compounds, apparatus, equipment and other physical property furnished or made available by or on behalf of Korro to Consultant in connection with this Agreement (“</w:t>
      </w:r>
      <w:r>
        <w:rPr>
          <w:rFonts w:ascii="Times New Roman" w:hAnsi="Times New Roman"/>
          <w:b/>
          <w:color w:val="000000"/>
          <w:sz w:val="22"/>
        </w:rPr>
        <w:t>Korro Materials</w:t>
      </w:r>
      <w:r>
        <w:rPr>
          <w:color w:val="000000"/>
        </w:rPr>
        <w:t>”</w:t>
      </w:r>
      <w:r>
        <w:rPr>
          <w:rFonts w:ascii="Times New Roman" w:hAnsi="Times New Roman"/>
          <w:color w:val="000000"/>
          <w:sz w:val="22"/>
        </w:rPr>
        <w:t>) are and will remain the sole property of Korro. Consultant will use Korro Materials only as necessary to perform the Consulting Services and will not transfer or make available to any third party the Korro Materials without the express prior written consent of Korro. Consultant will return to Korro any and all Korro Materials upon request.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w:t>
      </w:r>
    </w:p>
    <w:p>
      <w:pPr>
        <w:pStyle w:val="TextBody"/>
        <w:bidi w:val="0"/>
        <w:spacing w:before="240" w:after="283"/>
        <w:jc w:val="both"/>
        <w:rPr/>
      </w:pPr>
      <w:r>
        <w:rPr>
          <w:rFonts w:ascii="Times New Roman" w:hAnsi="Times New Roman"/>
          <w:b/>
          <w:color w:val="000000"/>
          <w:sz w:val="22"/>
          <w:u w:val="single"/>
        </w:rPr>
        <w:t>Non-Competition During Provision of Consulting Services</w:t>
      </w:r>
      <w:r>
        <w:rPr>
          <w:rFonts w:ascii="Times New Roman" w:hAnsi="Times New Roman"/>
          <w:b/>
          <w:color w:val="000000"/>
          <w:sz w:val="22"/>
        </w:rPr>
        <w:t xml:space="preserve">. </w:t>
      </w:r>
      <w:r>
        <w:rPr>
          <w:rFonts w:ascii="Times New Roman" w:hAnsi="Times New Roman"/>
          <w:color w:val="000000"/>
          <w:sz w:val="22"/>
        </w:rPr>
        <w:t>While Consultant is providing Consulting Services to Korro, Consultant will not, personally or through any entity with which Consultant may be associated, provide any advice or other services to assist any other individual or entity with regard to any activities comprising research, development, manufacture, regulatory approval or commercialization of a pharmaceutical product or diagnostic that is or may reasonably be expected to be directly competitive with any product or diagnostic that is the subject of research, development, manufacture, application for regulatory approval or commercialization by Korro, including any products involving gene-edited therapeutics, prophylactics, and/or diagnostics.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w:t>
      </w:r>
    </w:p>
    <w:p>
      <w:pPr>
        <w:pStyle w:val="TextBody"/>
        <w:bidi w:val="0"/>
        <w:spacing w:before="240" w:after="283"/>
        <w:jc w:val="both"/>
        <w:rPr/>
      </w:pPr>
      <w:r>
        <w:rPr>
          <w:rFonts w:ascii="Times New Roman" w:hAnsi="Times New Roman"/>
          <w:b/>
          <w:color w:val="000000"/>
          <w:sz w:val="22"/>
          <w:u w:val="single"/>
        </w:rPr>
        <w:t>Non-Solicitation</w:t>
      </w:r>
      <w:r>
        <w:rPr>
          <w:rFonts w:ascii="Times New Roman" w:hAnsi="Times New Roman"/>
          <w:b/>
          <w:color w:val="000000"/>
          <w:sz w:val="22"/>
        </w:rPr>
        <w:t xml:space="preserve">. </w:t>
      </w:r>
      <w:r>
        <w:rPr>
          <w:rFonts w:ascii="Times New Roman" w:hAnsi="Times New Roman"/>
          <w:color w:val="000000"/>
          <w:sz w:val="22"/>
        </w:rPr>
        <w:t>While Consultant is performing the Consulting Services for Korro and for a period of one (1) year after the termination or expiration of this Agreement, Consultant will not directly or indirectly, either alone or in association with others, (a) solicit, divert or take away, or attempt to divert or take away, the business or patronage of any of the clients, customers, or business partners of Korro that were contacted, solicited, or served by Consultant or Korro during the Term; (b) solicit, induce or attempt to induce, any employee or independent contractor of Korro to terminate his or her employment or other engagement with Korro; or (c) hire, or recruit or attempt to hire, or engage or attempt to engage as an independent contractor, any person who was employed or otherwise engaged by Korro at any time during the Term. Consultant expressly agrees that the covenants set out in Sections 8 and 9 are reasonable, necessary and enforceable to protect Korro’s Confidential Information, Work Product, Korro Materials, goodwill, and other legitimate business interests.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240" w:after="283"/>
        <w:jc w:val="both"/>
        <w:rPr/>
      </w:pPr>
      <w:r>
        <w:rPr>
          <w:rFonts w:ascii="Times New Roman" w:hAnsi="Times New Roman"/>
          <w:b/>
          <w:color w:val="000000"/>
          <w:sz w:val="22"/>
          <w:u w:val="single"/>
        </w:rPr>
        <w:t>Publication; Publicity</w:t>
      </w:r>
      <w:r>
        <w:rPr>
          <w:rFonts w:ascii="Times New Roman" w:hAnsi="Times New Roman"/>
          <w:b/>
          <w:color w:val="000000"/>
          <w:sz w:val="22"/>
        </w:rPr>
        <w:t>.</w:t>
      </w:r>
      <w:r>
        <w:rPr>
          <w:color w:val="000000"/>
        </w:rPr>
        <w:t xml:space="preserve"> </w:t>
      </w:r>
      <w:r>
        <w:rPr>
          <w:rFonts w:ascii="Times New Roman" w:hAnsi="Times New Roman"/>
          <w:color w:val="000000"/>
          <w:sz w:val="22"/>
        </w:rPr>
        <w:t>Consultant may not publish or refer to Work Product, in whole or in part, without the prior express written consent of Korro. Consultant will not use the name, logo, trade name, service mark, or trademark, or any simulation, abbreviation, or adaptation of same, or the name of Korro or any of its affiliates for publicity, promotion, or other uses without Korro’s prior written consent.</w:t>
      </w:r>
    </w:p>
    <w:p>
      <w:pPr>
        <w:pStyle w:val="TextBody"/>
        <w:bidi w:val="0"/>
        <w:jc w:val="both"/>
        <w:rPr>
          <w:rFonts w:ascii="Times New Roman" w:hAnsi="Times New Roman"/>
          <w:sz w:val="20"/>
        </w:rPr>
      </w:pPr>
      <w:r>
        <w:rPr>
          <w:rFonts w:ascii="Times New Roman" w:hAnsi="Times New Roman"/>
          <w:b/>
          <w:color w:val="000000"/>
          <w:sz w:val="20"/>
        </w:rPr>
        <w:t>CONFIDENTIAL</w:t>
      </w:r>
      <w:r>
        <w:rPr>
          <w:rFonts w:ascii="Times New Roman" w:hAnsi="Times New Roman"/>
          <w:color w:val="000000"/>
          <w:sz w:val="20"/>
        </w:rPr>
        <w:t xml:space="preserve"> Page 4 of 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240" w:after="283"/>
        <w:jc w:val="both"/>
        <w:rPr/>
      </w:pPr>
      <w:r>
        <w:rPr>
          <w:rFonts w:ascii="Times New Roman" w:hAnsi="Times New Roman"/>
          <w:b/>
          <w:color w:val="000000"/>
          <w:sz w:val="22"/>
          <w:u w:val="single"/>
        </w:rPr>
        <w:t>Expiration/Termination</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The term of this Agreement will commence on the Effective Date and expire at the end of the period specified in the “Term” Section of the </w:t>
      </w:r>
      <w:r>
        <w:rPr>
          <w:rFonts w:ascii="Times New Roman" w:hAnsi="Times New Roman"/>
          <w:color w:val="000000"/>
          <w:sz w:val="22"/>
          <w:u w:val="single"/>
        </w:rPr>
        <w:t>Business Terms Exhibit</w:t>
      </w:r>
      <w:r>
        <w:rPr>
          <w:rFonts w:ascii="Times New Roman" w:hAnsi="Times New Roman"/>
          <w:color w:val="000000"/>
          <w:sz w:val="22"/>
        </w:rPr>
        <w:t>, unless sooner terminated pursuant to the provisions of this Section 11 or extended by mutual written agreement of the parties (the “</w:t>
      </w:r>
      <w:r>
        <w:rPr>
          <w:rFonts w:ascii="Times New Roman" w:hAnsi="Times New Roman"/>
          <w:b/>
          <w:color w:val="000000"/>
          <w:sz w:val="22"/>
        </w:rPr>
        <w:t>Term</w:t>
      </w:r>
      <w:r>
        <w:rPr>
          <w:color w:val="000000"/>
        </w:rPr>
        <w:t>”</w:t>
      </w:r>
      <w:r>
        <w:rPr>
          <w:rFonts w:ascii="Times New Roman" w:hAnsi="Times New Roman"/>
          <w:color w:val="000000"/>
          <w:sz w:val="22"/>
        </w:rPr>
        <w:t>). Korro may terminate this Agreement at any time with or without cause upon not less than ten (10) days’ prior written notice to Consultant. Consultant may terminate this Agreement at any time with or without cause upon not less than sixty (60) days’ prior written notice to Korro. Any expiration or termination of this Agreement shall be without prejudice to any obligation of either party that has accrued prior to the effective date of expiration or termination. Upon expiration or termination of this Agreement, neither Consultant nor Korro will have any further obligations under this Agreement, except that (a) Consultant will terminate all Consulting Services in progress in an orderly manner as soon as practicable and in accordance with a schedule agreed to by Korro, unless Korro specifies in the notice of termination that Consulting Services in progress should be completed; (b) Consultant will deliver to Korro all Work Product made through expiration or termination; (c) Korro will pay Consultant any monies due and owing Consultant, up to the time of termination or expiration, for Consulting Services properly performed and all authorized expenses actually incurred; (d) Consultant will immediately return to Korro all Korro Materials and other Confidential Information and copies thereof provided to Consultant under this Agreement; and (e) the terms, conditions and obligations under Sections 2</w:t>
      </w:r>
      <w:r>
        <w:rPr>
          <w:rFonts w:ascii="Times New Roman" w:hAnsi="Times New Roman"/>
          <w:i/>
          <w:color w:val="000000"/>
          <w:sz w:val="22"/>
        </w:rPr>
        <w:t>,</w:t>
      </w:r>
      <w:r>
        <w:rPr>
          <w:color w:val="000000"/>
        </w:rPr>
        <w:t xml:space="preserve"> </w:t>
      </w:r>
      <w:r>
        <w:rPr>
          <w:rFonts w:ascii="Times New Roman" w:hAnsi="Times New Roman"/>
          <w:color w:val="000000"/>
          <w:sz w:val="22"/>
        </w:rPr>
        <w:t>3, 4, 5, 6, 7, 8, 9, 10, 11 and 12 and the</w:t>
      </w:r>
      <w:r>
        <w:rPr>
          <w:color w:val="000000"/>
          <w:u w:val="single"/>
        </w:rPr>
        <w:t xml:space="preserve"> </w:t>
      </w:r>
      <w:r>
        <w:rPr>
          <w:rFonts w:ascii="Times New Roman" w:hAnsi="Times New Roman"/>
          <w:color w:val="000000"/>
          <w:sz w:val="22"/>
          <w:u w:val="single"/>
        </w:rPr>
        <w:t>Data Privacy Exhibit</w:t>
      </w:r>
      <w:r>
        <w:rPr>
          <w:color w:val="000000"/>
        </w:rPr>
        <w:t xml:space="preserve"> </w:t>
      </w:r>
      <w:r>
        <w:rPr>
          <w:rFonts w:ascii="Times New Roman" w:hAnsi="Times New Roman"/>
          <w:color w:val="000000"/>
          <w:sz w:val="22"/>
        </w:rPr>
        <w:t>will survive expiration or termination of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240" w:after="283"/>
        <w:jc w:val="both"/>
        <w:rPr/>
      </w:pPr>
      <w:r>
        <w:rPr>
          <w:rFonts w:ascii="Times New Roman" w:hAnsi="Times New Roman"/>
          <w:b/>
          <w:color w:val="000000"/>
          <w:sz w:val="22"/>
          <w:u w:val="single"/>
        </w:rPr>
        <w:t>Miscellaneous</w:t>
      </w:r>
      <w:r>
        <w:rPr>
          <w:rFonts w:ascii="Times New Roman" w:hAnsi="Times New Roman"/>
          <w:b/>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12.1</w:t>
      </w:r>
    </w:p>
    <w:p>
      <w:pPr>
        <w:pStyle w:val="TextBody"/>
        <w:bidi w:val="0"/>
        <w:spacing w:before="240" w:after="283"/>
        <w:jc w:val="both"/>
        <w:rPr/>
      </w:pPr>
      <w:r>
        <w:rPr>
          <w:rFonts w:ascii="Times New Roman" w:hAnsi="Times New Roman"/>
          <w:color w:val="000000"/>
          <w:sz w:val="22"/>
          <w:u w:val="single"/>
        </w:rPr>
        <w:t>Independent Contractor</w:t>
      </w:r>
      <w:r>
        <w:rPr>
          <w:rFonts w:ascii="Times New Roman" w:hAnsi="Times New Roman"/>
          <w:color w:val="000000"/>
          <w:sz w:val="22"/>
        </w:rPr>
        <w:t xml:space="preserve">. The parties understand and agree that Consultant is an independent contractor and not an agent or employee of Korro. Consultant has no authority to obligate Korro by contract or otherwise. Consultant will not be eligible for any employee benefits of Korro and expressly waives any rights to any employee benefits. Except as otherwise required by law, Consultant will bear sole responsibility for paying and reporting Consultant’s own applicable federal and state income taxes, social security taxes, unemployment insurance, workers’ compensation, and health or disability insurance, retirement benefits, and other welfare or pension benefits, if any, and indemnifies and holds Korro harmless from and against any liability with respect to such taxes, benefits and other matters.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12.2</w:t>
      </w:r>
    </w:p>
    <w:p>
      <w:pPr>
        <w:pStyle w:val="TextBody"/>
        <w:bidi w:val="0"/>
        <w:spacing w:before="240" w:after="283"/>
        <w:jc w:val="both"/>
        <w:rPr/>
      </w:pPr>
      <w:r>
        <w:rPr>
          <w:rFonts w:ascii="Times New Roman" w:hAnsi="Times New Roman"/>
          <w:color w:val="000000"/>
          <w:sz w:val="22"/>
          <w:u w:val="single"/>
        </w:rPr>
        <w:t>Use of Name</w:t>
      </w:r>
      <w:r>
        <w:rPr>
          <w:rFonts w:ascii="Times New Roman" w:hAnsi="Times New Roman"/>
          <w:color w:val="000000"/>
          <w:sz w:val="22"/>
        </w:rPr>
        <w:t xml:space="preserve">. Consultant consents to the use by Korro of Consultant’s name on its website, in press releases, company brochures, offering documents, presentations, reports or other documents in printed or electronic form, and any documents filed with or submitted to any governmental or regulatory agency or any securities exchange or listing entity; </w:t>
      </w:r>
      <w:r>
        <w:rPr>
          <w:rFonts w:ascii="Times New Roman" w:hAnsi="Times New Roman"/>
          <w:i/>
          <w:color w:val="000000"/>
          <w:sz w:val="22"/>
        </w:rPr>
        <w:t>provided</w:t>
      </w:r>
      <w:r>
        <w:rPr>
          <w:rFonts w:ascii="Times New Roman" w:hAnsi="Times New Roman"/>
          <w:color w:val="000000"/>
          <w:sz w:val="22"/>
        </w:rPr>
        <w:t>, that such materials or presentations accurately describe the nature of Consultant’s relationship with or contribution to Korro.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12.3</w:t>
      </w:r>
    </w:p>
    <w:p>
      <w:pPr>
        <w:pStyle w:val="TextBody"/>
        <w:bidi w:val="0"/>
        <w:spacing w:before="240" w:after="283"/>
        <w:jc w:val="both"/>
        <w:rPr/>
      </w:pPr>
      <w:r>
        <w:rPr>
          <w:rFonts w:ascii="Times New Roman" w:hAnsi="Times New Roman"/>
          <w:color w:val="000000"/>
          <w:sz w:val="22"/>
          <w:u w:val="single"/>
        </w:rPr>
        <w:t>Entire Agreement</w:t>
      </w:r>
      <w:r>
        <w:rPr>
          <w:rFonts w:ascii="Times New Roman" w:hAnsi="Times New Roman"/>
          <w:color w:val="000000"/>
          <w:sz w:val="22"/>
        </w:rPr>
        <w:t>. This Agreement contains the entire agreement of the parties with regard to its subject matter and supersedes all prior or contemporaneous written or oral representations, agreements and understandings between the parties relating to that subject matter. This Agreement may be changed only by a writing signed by Consultant and an authorized representative of Korro.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12.4</w:t>
      </w:r>
    </w:p>
    <w:p>
      <w:pPr>
        <w:pStyle w:val="TextBody"/>
        <w:bidi w:val="0"/>
        <w:spacing w:before="240" w:after="283"/>
        <w:jc w:val="both"/>
        <w:rPr/>
      </w:pPr>
      <w:r>
        <w:rPr>
          <w:rFonts w:ascii="Times New Roman" w:hAnsi="Times New Roman"/>
          <w:color w:val="000000"/>
          <w:sz w:val="22"/>
          <w:u w:val="single"/>
        </w:rPr>
        <w:t>Certain Disclosures and Transparency</w:t>
      </w:r>
      <w:r>
        <w:rPr>
          <w:rFonts w:ascii="Times New Roman" w:hAnsi="Times New Roman"/>
          <w:color w:val="000000"/>
          <w:sz w:val="22"/>
        </w:rPr>
        <w:t>. Consultant acknowledges that Korro and its</w:t>
      </w:r>
      <w:r>
        <w:rPr>
          <w:color w:val="000000"/>
        </w:rPr>
        <w:t xml:space="preserve"> </w:t>
      </w:r>
      <w:r>
        <w:rPr>
          <w:rFonts w:ascii="Times New Roman" w:hAnsi="Times New Roman"/>
          <w:color w:val="000000"/>
          <w:sz w:val="22"/>
        </w:rPr>
        <w:t xml:space="preserve">affiliates are required to abide by federal and state disclosure laws and certain transparency policies governing their activities including providing reports to the government and to the public concerning financial or other relationships with healthcare providers. If applicable, </w:t>
      </w:r>
    </w:p>
    <w:p>
      <w:pPr>
        <w:pStyle w:val="TextBody"/>
        <w:bidi w:val="0"/>
        <w:jc w:val="both"/>
        <w:rPr>
          <w:rFonts w:ascii="Times New Roman" w:hAnsi="Times New Roman"/>
          <w:sz w:val="20"/>
        </w:rPr>
      </w:pPr>
      <w:r>
        <w:rPr>
          <w:rFonts w:ascii="Times New Roman" w:hAnsi="Times New Roman"/>
          <w:b/>
          <w:color w:val="000000"/>
          <w:sz w:val="20"/>
        </w:rPr>
        <w:t>CONFIDENTIAL</w:t>
      </w:r>
      <w:r>
        <w:rPr>
          <w:rFonts w:ascii="Times New Roman" w:hAnsi="Times New Roman"/>
          <w:color w:val="000000"/>
          <w:sz w:val="20"/>
        </w:rPr>
        <w:t xml:space="preserve"> Page 5 of 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Consultant agrees that Korro and its affiliates may, in their sole discretion, disclose information about this Agreement and about Consultant’s Consulting Services including those relating to healthcare providers and any compensation paid to healthcare providers pursuant to this Agreement. Consultant agrees to promptly supply information reasonably requested by Korro for disclosure purposes. To the extent that Consultant is independently obligated to disclose specific information concerning the Consulting Services relating to healthcare providers and compensation paid to healthcare providers pursuant to this Agreement, Consultant will make timely and accurate required disclosures.</w:t>
      </w:r>
      <w:r>
        <w:rPr>
          <w:color w:val="00000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12.5</w:t>
      </w:r>
    </w:p>
    <w:p>
      <w:pPr>
        <w:pStyle w:val="TextBody"/>
        <w:bidi w:val="0"/>
        <w:spacing w:before="240" w:after="283"/>
        <w:jc w:val="both"/>
        <w:rPr/>
      </w:pPr>
      <w:r>
        <w:rPr>
          <w:rFonts w:ascii="Times New Roman" w:hAnsi="Times New Roman"/>
          <w:color w:val="000000"/>
          <w:sz w:val="22"/>
          <w:u w:val="single"/>
        </w:rPr>
        <w:t>Assignment and Binding Effect</w:t>
      </w:r>
      <w:r>
        <w:rPr>
          <w:rFonts w:ascii="Times New Roman" w:hAnsi="Times New Roman"/>
          <w:color w:val="000000"/>
          <w:sz w:val="22"/>
        </w:rPr>
        <w:t>. The Consulting Services to be provided by Consultant are personal in nature. Consultant may not assign or transfer this Agreement or assign, transfer or subcontract any of Consultant’s rights or obligations under this Agreement. Korro may transfer or assign this Agreement, in whole or in part, without the prior written consent of Consultant. Any purported assignment or transfer in violation of this Section is void. This Agreement will be binding upon and inure to the benefit of the parties and their respective legal representatives, heirs, successors and permitted assigns.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12.6</w:t>
      </w:r>
    </w:p>
    <w:p>
      <w:pPr>
        <w:pStyle w:val="TextBody"/>
        <w:bidi w:val="0"/>
        <w:spacing w:before="240" w:after="283"/>
        <w:jc w:val="both"/>
        <w:rPr/>
      </w:pPr>
      <w:r>
        <w:rPr>
          <w:rFonts w:ascii="Times New Roman" w:hAnsi="Times New Roman"/>
          <w:color w:val="000000"/>
          <w:sz w:val="22"/>
          <w:u w:val="single"/>
        </w:rPr>
        <w:t>Notices</w:t>
      </w:r>
      <w:r>
        <w:rPr>
          <w:rFonts w:ascii="Times New Roman" w:hAnsi="Times New Roman"/>
          <w:color w:val="000000"/>
          <w:sz w:val="22"/>
        </w:rPr>
        <w:t>. All notices required or permitted under this Agreement must be in writing and must be given by directing the notice to the address for the receiving party set forth in this Agreement or at such other address as the receiving party may specify in writing under this procedure. Notices to Korro will be marked “Attention: Legal Department”, with a copy (which shall not constitute notice) to Legal@Korrobio.com. All notices must be given (a) by personal delivery, with receipt acknowledged; (b) by prepaid certified or registered mail, return receipt requested; or (c) by prepaid recognized next business day delivery service. Notices will be effective upon receipt or at a later date stated in the notice.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12.7</w:t>
      </w:r>
    </w:p>
    <w:p>
      <w:pPr>
        <w:pStyle w:val="TextBody"/>
        <w:bidi w:val="0"/>
        <w:spacing w:before="240" w:after="283"/>
        <w:jc w:val="both"/>
        <w:rPr/>
      </w:pPr>
      <w:r>
        <w:rPr>
          <w:rFonts w:ascii="Times New Roman" w:hAnsi="Times New Roman"/>
          <w:color w:val="000000"/>
          <w:sz w:val="22"/>
          <w:u w:val="single"/>
        </w:rPr>
        <w:t>Governing Law</w:t>
      </w:r>
      <w:r>
        <w:rPr>
          <w:rFonts w:ascii="Times New Roman" w:hAnsi="Times New Roman"/>
          <w:color w:val="000000"/>
          <w:sz w:val="22"/>
        </w:rPr>
        <w:t>. This Agreement and any disputes relating to or arising out of this Agreement will be governed by, construed, and interpreted in accordance with the internal laws of the Commonwealth of Massachusetts, without regard to any choice of law principle that would require the application of the law of another jurisdiction. The parties agree to submit to the exclusive jurisdiction of the state and federal courts located in the Commonwealth of Massachusetts, and waive any defense of inconvenient forum to the maintenance of any action or proceeding in such courts.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12.8</w:t>
      </w:r>
    </w:p>
    <w:p>
      <w:pPr>
        <w:pStyle w:val="TextBody"/>
        <w:bidi w:val="0"/>
        <w:spacing w:before="240" w:after="283"/>
        <w:jc w:val="both"/>
        <w:rPr/>
      </w:pPr>
      <w:r>
        <w:rPr>
          <w:rFonts w:ascii="Times New Roman" w:hAnsi="Times New Roman"/>
          <w:color w:val="000000"/>
          <w:sz w:val="22"/>
          <w:u w:val="single"/>
        </w:rPr>
        <w:t>Severability; Reformation</w:t>
      </w:r>
      <w:r>
        <w:rPr>
          <w:rFonts w:ascii="Times New Roman" w:hAnsi="Times New Roman"/>
          <w:color w:val="000000"/>
          <w:sz w:val="22"/>
        </w:rPr>
        <w:t>. Each provision in this Agreement is independent and severable from the others, and no provision will be rendered unenforceable because any other provision is found by a proper authority to be invalid or unenforceable in whole or in part. If any provision of this Agreement is found by such an authority to be invalid or unenforceable in whole or in part, such provision shall be changed and interpreted so as to best accomplish the objectives of such unenforceable or invalid provision and the intent of the parties, within the limits of applicable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12.9</w:t>
      </w:r>
    </w:p>
    <w:p>
      <w:pPr>
        <w:pStyle w:val="TextBody"/>
        <w:bidi w:val="0"/>
        <w:spacing w:before="240" w:after="283"/>
        <w:jc w:val="both"/>
        <w:rPr/>
      </w:pPr>
      <w:r>
        <w:rPr>
          <w:rFonts w:ascii="Times New Roman" w:hAnsi="Times New Roman"/>
          <w:color w:val="000000"/>
          <w:sz w:val="22"/>
          <w:u w:val="single"/>
        </w:rPr>
        <w:t>No Strict Construction; Headings</w:t>
      </w:r>
      <w:r>
        <w:rPr>
          <w:rFonts w:ascii="Times New Roman" w:hAnsi="Times New Roman"/>
          <w:color w:val="000000"/>
          <w:sz w:val="22"/>
        </w:rPr>
        <w:t>. This Agreement has been prepared jointly and will not be strictly construed against either party. The Section headings are included solely for convenience of reference and will not control or affect the meaning or interpretation of any of the provisions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12.10</w:t>
      </w:r>
    </w:p>
    <w:p>
      <w:pPr>
        <w:pStyle w:val="TextBody"/>
        <w:bidi w:val="0"/>
        <w:spacing w:before="240" w:after="283"/>
        <w:jc w:val="both"/>
        <w:rPr/>
      </w:pPr>
      <w:r>
        <w:rPr>
          <w:rFonts w:ascii="Times New Roman" w:hAnsi="Times New Roman"/>
          <w:color w:val="000000"/>
          <w:sz w:val="22"/>
          <w:u w:val="single"/>
        </w:rPr>
        <w:t>Waivers</w:t>
      </w:r>
      <w:r>
        <w:rPr>
          <w:rFonts w:ascii="Times New Roman" w:hAnsi="Times New Roman"/>
          <w:color w:val="000000"/>
          <w:sz w:val="22"/>
        </w:rPr>
        <w:t xml:space="preserve">. Any delay in enforcing a party’s rights under this Agreement, or any waiver as to a particular default or other matter, will not constitute a waiver of such party’s rights to the future enforcement of its rights under this Agreement, except with respect to an express </w:t>
      </w:r>
    </w:p>
    <w:p>
      <w:pPr>
        <w:pStyle w:val="TextBody"/>
        <w:bidi w:val="0"/>
        <w:jc w:val="both"/>
        <w:rPr>
          <w:rFonts w:ascii="Times New Roman" w:hAnsi="Times New Roman"/>
          <w:sz w:val="20"/>
        </w:rPr>
      </w:pPr>
      <w:r>
        <w:rPr>
          <w:rFonts w:ascii="Times New Roman" w:hAnsi="Times New Roman"/>
          <w:b/>
          <w:color w:val="000000"/>
          <w:sz w:val="20"/>
        </w:rPr>
        <w:t>CONFIDENTIAL</w:t>
      </w:r>
      <w:r>
        <w:rPr>
          <w:rFonts w:ascii="Times New Roman" w:hAnsi="Times New Roman"/>
          <w:color w:val="000000"/>
          <w:sz w:val="20"/>
        </w:rPr>
        <w:t xml:space="preserve"> Page 6 of 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written waiver relating to a particular matter for a particular period of time signed by Consultant and an authorized representative of the waiving party, as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12.11</w:t>
      </w:r>
    </w:p>
    <w:p>
      <w:pPr>
        <w:pStyle w:val="TextBody"/>
        <w:bidi w:val="0"/>
        <w:spacing w:before="240" w:after="283"/>
        <w:jc w:val="both"/>
        <w:rPr/>
      </w:pPr>
      <w:r>
        <w:rPr>
          <w:rFonts w:ascii="Times New Roman" w:hAnsi="Times New Roman"/>
          <w:color w:val="000000"/>
          <w:sz w:val="22"/>
          <w:u w:val="single"/>
        </w:rPr>
        <w:t>Remedies</w:t>
      </w:r>
      <w:r>
        <w:rPr>
          <w:rFonts w:ascii="Times New Roman" w:hAnsi="Times New Roman"/>
          <w:color w:val="000000"/>
          <w:sz w:val="22"/>
        </w:rPr>
        <w:t>. Consultant agrees that (a) Korro may be irreparably injured by a breach of this Agreement by Consultant; (b) money damages would not be an adequate remedy for any such breach; (c) as a remedy for any such breach Korro will be entitled to seek equitable relief, including injunctive relief and specific performance, without being required by Consultant to post a bond; and (d) such remedy will not be the exclusive remedy for any breach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12.12</w:t>
      </w:r>
    </w:p>
    <w:p>
      <w:pPr>
        <w:pStyle w:val="TextBody"/>
        <w:bidi w:val="0"/>
        <w:spacing w:before="240" w:after="283"/>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any number of counterparts, each of which will be deemed an original, but all of which together will constitute one and the same instrument. A (a) portable document format (“.pdf”) copy of this Agreement or a counterpart that includes the signature pages; or (b) copy of this Agreement or a counterpart that includes the signature pages and that was executed using a recognized electronic signature service (</w:t>
      </w:r>
      <w:r>
        <w:rPr>
          <w:rFonts w:ascii="Times New Roman" w:hAnsi="Times New Roman"/>
          <w:i/>
          <w:color w:val="000000"/>
          <w:sz w:val="22"/>
        </w:rPr>
        <w:t>e.g.</w:t>
      </w:r>
      <w:r>
        <w:rPr>
          <w:rFonts w:ascii="Times New Roman" w:hAnsi="Times New Roman"/>
          <w:color w:val="000000"/>
          <w:sz w:val="22"/>
        </w:rPr>
        <w:t>, DocuSign) will each be deemed an original.</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[Signature page follows]</w:t>
      </w:r>
    </w:p>
    <w:p>
      <w:pPr>
        <w:pStyle w:val="TextBody"/>
        <w:bidi w:val="0"/>
        <w:spacing w:before="240" w:after="283"/>
        <w:jc w:val="both"/>
        <w:rPr/>
      </w:pPr>
      <w:r>
        <w:rPr/>
        <w:t> </w:t>
      </w:r>
    </w:p>
    <w:p>
      <w:pPr>
        <w:pStyle w:val="TextBody"/>
        <w:bidi w:val="0"/>
        <w:jc w:val="both"/>
        <w:rPr>
          <w:rFonts w:ascii="Times New Roman" w:hAnsi="Times New Roman"/>
          <w:sz w:val="20"/>
        </w:rPr>
      </w:pPr>
      <w:r>
        <w:rPr>
          <w:rFonts w:ascii="Times New Roman" w:hAnsi="Times New Roman"/>
          <w:b/>
          <w:color w:val="000000"/>
          <w:sz w:val="20"/>
        </w:rPr>
        <w:t>CONFIDENTIAL</w:t>
      </w:r>
      <w:r>
        <w:rPr>
          <w:rFonts w:ascii="Times New Roman" w:hAnsi="Times New Roman"/>
          <w:color w:val="000000"/>
          <w:sz w:val="20"/>
        </w:rPr>
        <w:t xml:space="preserve"> Page 7 of 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parties have executed this Agreement as of the Effective Date.</w:t>
      </w:r>
    </w:p>
    <w:tbl>
      <w:tblPr>
        <w:tblW w:w="4937" w:type="dxa"/>
        <w:jc w:val="left"/>
        <w:tblInd w:w="0" w:type="dxa"/>
        <w:tblLayout w:type="fixed"/>
        <w:tblCellMar>
          <w:top w:w="28" w:type="dxa"/>
          <w:left w:w="28" w:type="dxa"/>
          <w:bottom w:w="28" w:type="dxa"/>
          <w:right w:w="28" w:type="dxa"/>
        </w:tblCellMar>
      </w:tblPr>
      <w:tblGrid>
        <w:gridCol w:w="2071"/>
        <w:gridCol w:w="2866"/>
      </w:tblGrid>
      <w:tr>
        <w:trPr/>
        <w:tc>
          <w:tcPr>
            <w:tcW w:w="207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2"/>
              </w:rPr>
            </w:pPr>
            <w:r>
              <w:rPr>
                <w:rFonts w:ascii="Times New Roman" w:hAnsi="Times New Roman"/>
                <w:b/>
                <w:color w:val="000000"/>
                <w:sz w:val="22"/>
              </w:rPr>
              <w:t>KORRO BIO, INC.</w:t>
            </w:r>
          </w:p>
          <w:p>
            <w:pPr>
              <w:pStyle w:val="TableContents"/>
              <w:bidi w:val="0"/>
              <w:spacing w:before="720" w:after="283"/>
              <w:jc w:val="left"/>
              <w:rPr>
                <w:rFonts w:ascii="Times New Roman" w:hAnsi="Times New Roman"/>
                <w:color w:val="000000"/>
                <w:sz w:val="22"/>
              </w:rPr>
            </w:pPr>
            <w:r>
              <w:rPr>
                <w:rFonts w:ascii="Times New Roman" w:hAnsi="Times New Roman"/>
                <w:color w:val="000000"/>
                <w:sz w:val="22"/>
              </w:rPr>
              <w:t>By:</w:t>
            </w:r>
          </w:p>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Name:</w:t>
            </w:r>
          </w:p>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Title:</w:t>
            </w:r>
          </w:p>
        </w:tc>
        <w:tc>
          <w:tcPr>
            <w:tcW w:w="28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aps/>
                <w:color w:val="000000"/>
                <w:sz w:val="22"/>
              </w:rPr>
            </w:pPr>
            <w:r>
              <w:rPr>
                <w:rFonts w:ascii="Times New Roman" w:hAnsi="Times New Roman"/>
                <w:b/>
                <w:caps/>
                <w:color w:val="000000"/>
                <w:sz w:val="22"/>
              </w:rPr>
              <w:t>Rachel Meyers, Ph.D.</w:t>
            </w:r>
          </w:p>
          <w:p>
            <w:pPr>
              <w:pStyle w:val="TableContents"/>
              <w:bidi w:val="0"/>
              <w:spacing w:before="720" w:after="283"/>
              <w:jc w:val="left"/>
              <w:rPr>
                <w:rFonts w:ascii="Times New Roman" w:hAnsi="Times New Roman"/>
                <w:color w:val="000000"/>
                <w:sz w:val="22"/>
              </w:rPr>
            </w:pPr>
            <w:r>
              <w:rPr>
                <w:rFonts w:ascii="Times New Roman" w:hAnsi="Times New Roman"/>
                <w:color w:val="000000"/>
                <w:sz w:val="22"/>
              </w:rPr>
              <w:t>By:</w:t>
            </w:r>
          </w:p>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Name:</w:t>
            </w:r>
          </w:p>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Title:</w:t>
            </w:r>
          </w:p>
        </w:tc>
      </w:tr>
    </w:tbl>
    <w:p>
      <w:pPr>
        <w:pStyle w:val="TextBody"/>
        <w:bidi w:val="0"/>
        <w:spacing w:before="240" w:after="283"/>
        <w:jc w:val="both"/>
        <w:rPr/>
      </w:pPr>
      <w:r>
        <w:rPr/>
        <w:t> </w:t>
      </w:r>
    </w:p>
    <w:p>
      <w:pPr>
        <w:pStyle w:val="TextBody"/>
        <w:bidi w:val="0"/>
        <w:jc w:val="both"/>
        <w:rPr>
          <w:rFonts w:ascii="Times New Roman" w:hAnsi="Times New Roman"/>
          <w:sz w:val="20"/>
        </w:rPr>
      </w:pPr>
      <w:r>
        <w:rPr>
          <w:rFonts w:ascii="Times New Roman" w:hAnsi="Times New Roman"/>
          <w:b/>
          <w:color w:val="000000"/>
          <w:sz w:val="20"/>
        </w:rPr>
        <w:t>CONFIDENTIAL</w:t>
      </w:r>
      <w:r>
        <w:rPr>
          <w:rFonts w:ascii="Times New Roman" w:hAnsi="Times New Roman"/>
          <w:color w:val="000000"/>
          <w:sz w:val="20"/>
        </w:rPr>
        <w:t xml:space="preserve"> Page 8 of 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aps/>
          <w:color w:val="000000"/>
          <w:sz w:val="22"/>
          <w:u w:val="single"/>
        </w:rPr>
      </w:pPr>
      <w:r>
        <w:rPr>
          <w:rFonts w:ascii="Times New Roman" w:hAnsi="Times New Roman"/>
          <w:b/>
          <w:caps/>
          <w:color w:val="000000"/>
          <w:sz w:val="22"/>
          <w:u w:val="single"/>
        </w:rPr>
        <w:t>EXHIBIT A</w:t>
      </w:r>
    </w:p>
    <w:p>
      <w:pPr>
        <w:pStyle w:val="TextBody"/>
        <w:bidi w:val="0"/>
        <w:spacing w:before="240" w:after="283"/>
        <w:jc w:val="center"/>
        <w:rPr>
          <w:rFonts w:ascii="Times New Roman" w:hAnsi="Times New Roman"/>
          <w:b/>
          <w:caps/>
          <w:color w:val="000000"/>
          <w:sz w:val="22"/>
        </w:rPr>
      </w:pPr>
      <w:r>
        <w:rPr>
          <w:rFonts w:ascii="Times New Roman" w:hAnsi="Times New Roman"/>
          <w:b/>
          <w:caps/>
          <w:color w:val="000000"/>
          <w:sz w:val="22"/>
        </w:rPr>
        <w:t>BUSINESS TERMS EXHIBIT No. 1</w:t>
      </w:r>
    </w:p>
    <w:p>
      <w:pPr>
        <w:pStyle w:val="TextBody"/>
        <w:bidi w:val="0"/>
        <w:spacing w:before="240" w:after="240"/>
        <w:jc w:val="both"/>
        <w:rPr>
          <w:rFonts w:ascii="Times New Roman" w:hAnsi="Times New Roman"/>
          <w:sz w:val="20"/>
        </w:rPr>
      </w:pPr>
      <w:r>
        <w:rPr>
          <w:rFonts w:ascii="Times New Roman" w:hAnsi="Times New Roman"/>
          <w:b/>
          <w:color w:val="000000"/>
          <w:sz w:val="22"/>
        </w:rPr>
        <w:t xml:space="preserve">THIS BUSINESS TERMS EXHIBIT NO. 1, </w:t>
      </w:r>
      <w:r>
        <w:rPr>
          <w:rFonts w:ascii="Times New Roman" w:hAnsi="Times New Roman"/>
          <w:color w:val="000000"/>
          <w:sz w:val="22"/>
        </w:rPr>
        <w:t xml:space="preserve">effective as of April 9, 2026 (the “Business Terms Exhibit”) is by and between </w:t>
      </w:r>
      <w:r>
        <w:rPr>
          <w:rFonts w:ascii="Times New Roman" w:hAnsi="Times New Roman"/>
          <w:b/>
          <w:color w:val="000000"/>
          <w:sz w:val="22"/>
        </w:rPr>
        <w:t>Korro Bio, Inc.</w:t>
      </w:r>
      <w:r>
        <w:rPr>
          <w:rFonts w:ascii="Times New Roman" w:hAnsi="Times New Roman"/>
          <w:color w:val="000000"/>
          <w:sz w:val="20"/>
        </w:rPr>
        <w:t xml:space="preserve"> </w:t>
      </w:r>
      <w:r>
        <w:rPr>
          <w:rFonts w:ascii="Times New Roman" w:hAnsi="Times New Roman"/>
          <w:color w:val="000000"/>
          <w:sz w:val="22"/>
        </w:rPr>
        <w:t>(“Korro”) and</w:t>
      </w:r>
      <w:r>
        <w:rPr>
          <w:rFonts w:ascii="Times New Roman" w:hAnsi="Times New Roman"/>
          <w:color w:val="000000"/>
          <w:sz w:val="20"/>
        </w:rPr>
        <w:t xml:space="preserve"> </w:t>
      </w:r>
      <w:r>
        <w:rPr>
          <w:rFonts w:ascii="Times New Roman" w:hAnsi="Times New Roman"/>
          <w:color w:val="000000"/>
          <w:sz w:val="22"/>
        </w:rPr>
        <w:t>Rachel Meyers, Ph.D. (“Consultant”), and upon execution will be made a part of and incorporated into the Consulting Agreement between Korro and Consultant dated April 9, 2026 (the “Agreement”). This Business Terms Exhibit is governed by the terms of the Agreement. Korro and Consultant hereby agree as follows: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13.</w:t>
      </w:r>
    </w:p>
    <w:p>
      <w:pPr>
        <w:pStyle w:val="TextBody"/>
        <w:bidi w:val="0"/>
        <w:jc w:val="both"/>
        <w:rPr/>
      </w:pPr>
      <w:r>
        <w:rPr>
          <w:rFonts w:ascii="Times New Roman" w:hAnsi="Times New Roman"/>
          <w:b/>
          <w:color w:val="000000"/>
          <w:sz w:val="22"/>
          <w:u w:val="single"/>
        </w:rPr>
        <w:t>Consulting Services</w:t>
      </w:r>
      <w:r>
        <w:rPr>
          <w:rFonts w:ascii="Times New Roman" w:hAnsi="Times New Roman"/>
          <w:b/>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Consultant will provide the following Consulting Services to Korro: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Consultant will provide science and technology advisory services to Korro.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Consultant will provide Consulting Services on a schedule and at a location or locations indicated above or as otherwise mutually agreed between Consultant and Korro. In addition, Consultant will be available for a reasonable number of telephone and/or written consultations.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240" w:after="283"/>
        <w:jc w:val="both"/>
        <w:rPr/>
      </w:pPr>
      <w:r>
        <w:rPr>
          <w:rFonts w:ascii="Times New Roman" w:hAnsi="Times New Roman"/>
          <w:b/>
          <w:color w:val="000000"/>
          <w:sz w:val="22"/>
          <w:u w:val="single"/>
        </w:rPr>
        <w:t>Compensation</w:t>
      </w:r>
      <w:r>
        <w:rPr>
          <w:rFonts w:ascii="Times New Roman" w:hAnsi="Times New Roman"/>
          <w:b/>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Fees</w:t>
      </w:r>
      <w:r>
        <w:rPr>
          <w:rFonts w:ascii="Times New Roman" w:hAnsi="Times New Roman"/>
          <w:color w:val="000000"/>
          <w:sz w:val="22"/>
        </w:rPr>
        <w:t>: Korro will pay Consultant a total of $2,000 per quarter for the Consulting Services. For any partial quarter during the Term of this Agreement, Korro will pay Consultant on a pro-rated basis.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compensation to be paid under this Agreement has been determined through good faith and arms-length bargaining to be the fair market value of the Consulting Services to be rendered, and no amount paid or reimbursed under this Agreement is intended to be, nor shall it be construed as, an offer or payment made, whether directly or indirectly, to induce the referral of patients, the purchase, lease or order of any Korro product or service, or the recommending or arranging for the purchase, lease or order of any Korro product or service.</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Expenses</w:t>
      </w:r>
      <w:r>
        <w:rPr>
          <w:rFonts w:ascii="Times New Roman" w:hAnsi="Times New Roman"/>
          <w:color w:val="000000"/>
          <w:sz w:val="22"/>
        </w:rPr>
        <w:t>: Korro will reimburse Consultant for any pre-approved expenses actually incurred by Consultant in connection with the provision of Consulting Services. Requests for reimbursement will be in a form reasonably acceptable to Korro, will include supporting documentation and will accompany Consultant’s invoices.</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Invoicing</w:t>
      </w:r>
      <w:r>
        <w:rPr>
          <w:rFonts w:ascii="Times New Roman" w:hAnsi="Times New Roman"/>
          <w:color w:val="000000"/>
          <w:sz w:val="22"/>
        </w:rPr>
        <w:t>: No later than the last day of each calendar month, Consultant will invoice Korro for expenses related to Consulting Services incurred during the preceding month. Invoices should reference this Agreement and should be submitted to Korro to the attention of: Accounts Payable (ap@korrobio.com). Invoices will contain such detail as Korro may reasonably require and will be payable in U.S. Dollars. Undisputed payments will be made by Korro within forty-five (45) days after Korro’s receipt of Consultant’s invoice, request for reimbursement and all supporting documentation.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w:t>
      </w:r>
    </w:p>
    <w:p>
      <w:pPr>
        <w:pStyle w:val="TextBody"/>
        <w:bidi w:val="0"/>
        <w:spacing w:before="240" w:after="283"/>
        <w:jc w:val="both"/>
        <w:rPr/>
      </w:pPr>
      <w:r>
        <w:rPr>
          <w:rFonts w:ascii="Times New Roman" w:hAnsi="Times New Roman"/>
          <w:b/>
          <w:color w:val="000000"/>
          <w:sz w:val="22"/>
          <w:u w:val="single"/>
        </w:rPr>
        <w:t>Term</w:t>
      </w:r>
      <w:r>
        <w:rPr>
          <w:rFonts w:ascii="Times New Roman" w:hAnsi="Times New Roman"/>
          <w:b/>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This Agreement will continue from the Effective Date, unless and until terminated by either party in accordance with Section 11 of this Agreement. Notwithstanding the foregoing, this Agreement will terminate automatically, without any action by either party and without prejudice to any obligation that has accrued prior to such termination, on the date that Consultant ceases for any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0"/>
        </w:rPr>
        <w:t>CONFIDENTIAL</w:t>
      </w:r>
      <w:r>
        <w:rPr>
          <w:rFonts w:ascii="Times New Roman" w:hAnsi="Times New Roman"/>
          <w:color w:val="000000"/>
          <w:sz w:val="20"/>
        </w:rPr>
        <w:t xml:space="preserve"> Page 9 of 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reason to serve as a member of Korro’s Board of Directors, including by reason of resignation, removal, failure to be re-elected, death, incapacity, or any other circumstance.</w:t>
      </w:r>
    </w:p>
    <w:p>
      <w:pPr>
        <w:pStyle w:val="TextBody"/>
        <w:bidi w:val="0"/>
        <w:jc w:val="both"/>
        <w:rPr>
          <w:rFonts w:ascii="Times New Roman" w:hAnsi="Times New Roman"/>
          <w:sz w:val="20"/>
        </w:rPr>
      </w:pPr>
      <w:r>
        <w:rPr>
          <w:rFonts w:ascii="Times New Roman" w:hAnsi="Times New Roman"/>
          <w:b/>
          <w:color w:val="000000"/>
          <w:sz w:val="20"/>
        </w:rPr>
        <w:t>CONFIDENTIAL</w:t>
      </w:r>
      <w:r>
        <w:rPr>
          <w:rFonts w:ascii="Times New Roman" w:hAnsi="Times New Roman"/>
          <w:color w:val="000000"/>
          <w:sz w:val="20"/>
        </w:rPr>
        <w:t xml:space="preserve"> Page 10 of 10</w:t>
      </w:r>
    </w:p>
    <w:p>
      <w:pPr>
        <w:pStyle w:val="HorizontalLine"/>
        <w:pBdr>
          <w:bottom w:val="double" w:sz="2" w:space="0" w:color="808080"/>
        </w:pBdr>
        <w:bidi w:val="0"/>
        <w:spacing w:before="0" w:after="283"/>
        <w:jc w:val="left"/>
        <w:rPr/>
      </w:pPr>
      <w:r>
        <w:rPr/>
      </w:r>
    </w:p>
    <w:p>
      <w:pPr>
        <w:pStyle w:val="TextBody"/>
        <w:bidi w:val="0"/>
        <w:jc w:val="right"/>
        <w:rPr/>
      </w:pPr>
      <w:bookmarkStart w:id="28" w:name="krro-ex31_1.htm"/>
      <w:bookmarkStart w:id="29" w:name="kskrroex31_1"/>
      <w:bookmarkEnd w:id="28"/>
      <w:bookmarkEnd w:id="29"/>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31.1</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OF PRINCIPAL EXECUTIVE OFFICER AND PRINCIPAL FINANCIAL OFFICER PURSUANT TO RULE 13a-14(a) / RULE 15d-14(a) OF THE SECURITIES EXCHANGE ACT OF 1934, AS AMENDED</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 Ram Aiyar, certify that: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I have reviewed this Quarterly Report on Form 10-Q for the period ended June 30, 2026 of Korro Bio, Inc. (the “registrant”);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w:t>
      </w:r>
    </w:p>
    <w:p>
      <w:pPr>
        <w:pStyle w:val="TextBody"/>
        <w:bidi w:val="0"/>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w:t>
      </w:r>
    </w:p>
    <w:p>
      <w:pPr>
        <w:pStyle w:val="TextBody"/>
        <w:bidi w:val="0"/>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5.</w:t>
      </w:r>
    </w:p>
    <w:p>
      <w:pPr>
        <w:pStyle w:val="TextBody"/>
        <w:bidi w:val="0"/>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p>
      <w:pPr>
        <w:pStyle w:val="TextBody"/>
        <w:bidi w:val="0"/>
        <w:jc w:val="left"/>
        <w:rPr/>
      </w:pPr>
      <w:r>
        <w:rPr/>
        <w:t> </w:t>
      </w:r>
    </w:p>
    <w:tbl>
      <w:tblPr>
        <w:tblW w:w="5502" w:type="dxa"/>
        <w:jc w:val="left"/>
        <w:tblInd w:w="0" w:type="dxa"/>
        <w:tblLayout w:type="fixed"/>
        <w:tblCellMar>
          <w:top w:w="28" w:type="dxa"/>
          <w:left w:w="28" w:type="dxa"/>
          <w:bottom w:w="28" w:type="dxa"/>
          <w:right w:w="28" w:type="dxa"/>
        </w:tblCellMar>
      </w:tblPr>
      <w:tblGrid>
        <w:gridCol w:w="161"/>
        <w:gridCol w:w="5341"/>
      </w:tblGrid>
      <w:tr>
        <w:trPr/>
        <w:tc>
          <w:tcPr>
            <w:tcW w:w="161"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Ram Aiyar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Ram Aiyar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President and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(Principal Executive Officer and Interim Principal Financial Officer)</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Dated: August 6, 2026</w:t>
      </w:r>
    </w:p>
    <w:p>
      <w:pPr>
        <w:pStyle w:val="HorizontalLine"/>
        <w:pBdr>
          <w:bottom w:val="double" w:sz="2" w:space="0" w:color="808080"/>
        </w:pBdr>
        <w:bidi w:val="0"/>
        <w:spacing w:before="0" w:after="283"/>
        <w:jc w:val="left"/>
        <w:rPr/>
      </w:pPr>
      <w:r>
        <w:rPr/>
      </w:r>
    </w:p>
    <w:p>
      <w:pPr>
        <w:pStyle w:val="TextBody"/>
        <w:bidi w:val="0"/>
        <w:jc w:val="right"/>
        <w:rPr/>
      </w:pPr>
      <w:bookmarkStart w:id="30" w:name="krro-ex32_1.htm"/>
      <w:bookmarkStart w:id="31" w:name="kskrro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OF PRINCIPAL EXECUTIVE OFFICER AND PRINCIPAL FINANCIAL OFFICER PURSUANT TO 18 U.S.C. SECTION 1350, 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Korro Bio, Inc. (the “Company”) for the period ended June 30, 2026 as filed with the Securities and Exchange Commission on the date hereof (the “Report”), the undersigned hereby certify, pursuant to 18 U.S.C. Section 1350, that, to the best of their knowledge: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6001"/>
      </w:tblGrid>
      <w:tr>
        <w:trPr/>
        <w:tc>
          <w:tcPr>
            <w:tcW w:w="6001" w:type="dxa"/>
            <w:tcBorders/>
            <w:vAlign w:val="center"/>
          </w:tcPr>
          <w:p>
            <w:pPr>
              <w:pStyle w:val="TableContents"/>
              <w:bidi w:val="0"/>
              <w:spacing w:before="0" w:after="283"/>
              <w:jc w:val="left"/>
              <w:rPr>
                <w:sz w:val="4"/>
                <w:szCs w:val="4"/>
              </w:rPr>
            </w:pPr>
            <w:r>
              <w:rPr>
                <w:sz w:val="4"/>
                <w:szCs w:val="4"/>
              </w:rPr>
            </w:r>
          </w:p>
        </w:tc>
      </w:tr>
      <w:tr>
        <w:trPr/>
        <w:tc>
          <w:tcPr>
            <w:tcW w:w="60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Ram Aiyar </w:t>
            </w:r>
          </w:p>
        </w:tc>
      </w:tr>
      <w:tr>
        <w:trPr/>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Ram Aiyar</w:t>
            </w:r>
          </w:p>
        </w:tc>
      </w:tr>
      <w:tr>
        <w:trPr/>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 and Interim Principal Financial Officer)</w:t>
            </w:r>
          </w:p>
        </w:tc>
      </w:tr>
    </w:tbl>
    <w:p>
      <w:pPr>
        <w:pStyle w:val="TextBody"/>
        <w:bidi w:val="0"/>
        <w:jc w:val="left"/>
        <w:rPr>
          <w:rFonts w:ascii="Times New Roman" w:hAnsi="Times New Roman"/>
          <w:color w:val="000000"/>
          <w:sz w:val="20"/>
        </w:rPr>
      </w:pPr>
      <w:r>
        <w:rPr>
          <w:rFonts w:ascii="Times New Roman" w:hAnsi="Times New Roman"/>
          <w:color w:val="000000"/>
          <w:sz w:val="20"/>
        </w:rPr>
        <w:t>Dated: August 6,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Korro Bio, Inc. under the Securities Act of 1933, as amended, or the Exchange Act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3647/000119312519263787/d796545dex31.htm" TargetMode="External"/><Relationship Id="rId3" Type="http://schemas.openxmlformats.org/officeDocument/2006/relationships/hyperlink" Target="https://www.sec.gov/Archives/edgar/data/1703647/000119312523270898/d549338dex31.htm" TargetMode="External"/><Relationship Id="rId4" Type="http://schemas.openxmlformats.org/officeDocument/2006/relationships/hyperlink" Target="https://www.sec.gov/Archives/edgar/data/1703647/000119312523270898/d549338dex32.htm" TargetMode="External"/><Relationship Id="rId5" Type="http://schemas.openxmlformats.org/officeDocument/2006/relationships/hyperlink" Target="https://www.sec.gov/Archives/edgar/data/1703647/000119312524159933/d844802dex31.htm" TargetMode="External"/><Relationship Id="rId6" Type="http://schemas.openxmlformats.org/officeDocument/2006/relationships/hyperlink" Target="https://www.sec.gov/Archives/edgar/data/1703647/000119312520253994/d62983dex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76037</Words>
  <Characters>419780</Characters>
  <CharactersWithSpaces>495912</CharactersWithSpaces>
  <Paragraphs>5945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